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bookmarkStart w:id="0" w:name="_GoBack"/>
      <w:bookmarkEnd w:id="0"/>
      <w:r>
        <w:rPr>
          <w:rFonts w:hint="eastAsia" w:ascii="TimesNewRoman" w:hAnsi="TimesNewRoman" w:eastAsia="黑体" w:cs="TimesNewRoman"/>
          <w:szCs w:val="32"/>
        </w:rPr>
        <w:t>附件1</w:t>
      </w:r>
    </w:p>
    <w:p>
      <w:pPr>
        <w:spacing w:line="560" w:lineRule="exact"/>
        <w:rPr>
          <w:rFonts w:ascii="TimesNewRoman" w:hAnsi="TimesNewRoman" w:eastAsia="黑体" w:cs="TimesNewRoman"/>
          <w:szCs w:val="32"/>
        </w:rPr>
      </w:pPr>
    </w:p>
    <w:p>
      <w:pPr>
        <w:spacing w:line="560" w:lineRule="exact"/>
        <w:rPr>
          <w:rFonts w:ascii="TimesNewRoman" w:hAnsi="TimesNewRoman" w:eastAsia="黑体" w:cs="TimesNewRoman"/>
          <w:szCs w:val="32"/>
        </w:rPr>
      </w:pP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宿松县</w:t>
      </w:r>
      <w:r>
        <w:rPr>
          <w:rFonts w:hint="eastAsia" w:ascii="TimesNewRoman" w:hAnsi="TimesNewRoman" w:eastAsia="华文中宋" w:cs="TimesNewRoman"/>
          <w:b/>
          <w:sz w:val="44"/>
          <w:szCs w:val="44"/>
          <w:lang w:val="en-US" w:eastAsia="zh-CN"/>
        </w:rPr>
        <w:t>总工会</w:t>
      </w:r>
      <w:r>
        <w:rPr>
          <w:rFonts w:ascii="TimesNewRoman" w:hAnsi="TimesNewRoman" w:eastAsia="华文中宋" w:cs="TimesNewRoman"/>
          <w:b/>
          <w:sz w:val="44"/>
          <w:szCs w:val="44"/>
        </w:rPr>
        <w:t>202</w:t>
      </w:r>
      <w:r>
        <w:rPr>
          <w:rFonts w:hint="eastAsia" w:ascii="TimesNewRoman" w:hAnsi="TimesNewRoman" w:eastAsia="华文中宋" w:cs="TimesNewRoman"/>
          <w:b/>
          <w:sz w:val="44"/>
          <w:szCs w:val="44"/>
        </w:rPr>
        <w:t>3</w:t>
      </w:r>
      <w:r>
        <w:rPr>
          <w:rFonts w:ascii="TimesNewRoman" w:hAnsi="TimesNewRoman" w:eastAsia="华文中宋" w:cs="TimesNewRoman"/>
          <w:b/>
          <w:sz w:val="44"/>
          <w:szCs w:val="44"/>
        </w:rPr>
        <w:t>年</w:t>
      </w:r>
    </w:p>
    <w:p>
      <w:pPr>
        <w:spacing w:line="560" w:lineRule="exact"/>
        <w:jc w:val="center"/>
        <w:rPr>
          <w:rFonts w:ascii="TimesNewRoman" w:hAnsi="TimesNewRoman" w:eastAsia="华文中宋" w:cs="TimesNewRoman"/>
          <w:b/>
          <w:sz w:val="44"/>
          <w:szCs w:val="44"/>
        </w:rPr>
      </w:pPr>
      <w:r>
        <w:rPr>
          <w:rFonts w:ascii="TimesNewRoman" w:hAnsi="TimesNewRoman" w:eastAsia="华文中宋" w:cs="TimesNewRoman"/>
          <w:b/>
          <w:sz w:val="44"/>
          <w:szCs w:val="44"/>
        </w:rPr>
        <w:t>部门预算</w:t>
      </w:r>
    </w:p>
    <w:p>
      <w:pPr>
        <w:pStyle w:val="6"/>
        <w:adjustRightInd w:val="0"/>
        <w:snapToGrid w:val="0"/>
        <w:spacing w:line="560" w:lineRule="exact"/>
        <w:jc w:val="center"/>
        <w:outlineLvl w:val="0"/>
        <w:rPr>
          <w:rFonts w:ascii="TimesNewRoman" w:hAnsi="TimesNewRoman" w:eastAsia="楷体_GB2312" w:cs="TimesNewRoman"/>
          <w:sz w:val="32"/>
          <w:szCs w:val="32"/>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44"/>
          <w:szCs w:val="44"/>
        </w:rPr>
      </w:pPr>
      <w:r>
        <w:rPr>
          <w:rFonts w:ascii="TimesNewRoman" w:hAnsi="TimesNewRoman" w:eastAsia="黑体" w:cs="TimesNewRoman"/>
          <w:bCs/>
          <w:sz w:val="44"/>
          <w:szCs w:val="44"/>
        </w:rPr>
        <w:t>202</w:t>
      </w:r>
      <w:r>
        <w:rPr>
          <w:rFonts w:hint="eastAsia" w:ascii="TimesNewRoman" w:hAnsi="TimesNewRoman" w:eastAsia="黑体" w:cs="TimesNewRoman"/>
          <w:bCs/>
          <w:sz w:val="44"/>
          <w:szCs w:val="44"/>
        </w:rPr>
        <w:t>3</w:t>
      </w:r>
      <w:r>
        <w:rPr>
          <w:rFonts w:ascii="TimesNewRoman" w:hAnsi="TimesNewRoman" w:eastAsia="黑体" w:cs="TimesNewRoman"/>
          <w:bCs/>
          <w:sz w:val="44"/>
          <w:szCs w:val="44"/>
        </w:rPr>
        <w:t>年</w:t>
      </w:r>
      <w:r>
        <w:rPr>
          <w:rFonts w:hint="eastAsia" w:ascii="TimesNewRoman" w:hAnsi="TimesNewRoman" w:eastAsia="黑体" w:cs="TimesNewRoman"/>
          <w:bCs/>
          <w:sz w:val="44"/>
          <w:szCs w:val="44"/>
          <w:lang w:val="en-US" w:eastAsia="zh-CN"/>
        </w:rPr>
        <w:t>2</w:t>
      </w:r>
      <w:r>
        <w:rPr>
          <w:rFonts w:ascii="TimesNewRoman" w:hAnsi="TimesNewRoman" w:eastAsia="黑体" w:cs="TimesNewRoman"/>
          <w:bCs/>
          <w:sz w:val="44"/>
          <w:szCs w:val="44"/>
        </w:rPr>
        <w:t>月</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44"/>
          <w:szCs w:val="44"/>
        </w:rPr>
      </w:pPr>
      <w:r>
        <w:rPr>
          <w:rFonts w:ascii="TimesNewRoman" w:hAnsi="TimesNewRoman" w:eastAsia="黑体" w:cs="TimesNewRoman"/>
          <w:bCs/>
          <w:sz w:val="44"/>
          <w:szCs w:val="44"/>
        </w:rPr>
        <w:t>目 录</w:t>
      </w: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第一部分 部门概况</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1.主要职责</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2.部门预算构成</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3.202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年度主要工作任务</w:t>
      </w:r>
    </w:p>
    <w:p>
      <w:pPr>
        <w:pStyle w:val="6"/>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第二部分 202</w:t>
      </w:r>
      <w:r>
        <w:rPr>
          <w:rFonts w:hint="eastAsia" w:ascii="TimesNewRoman" w:hAnsi="TimesNewRoman" w:eastAsia="仿宋_GB2312" w:cs="TimesNewRoman"/>
          <w:b/>
          <w:sz w:val="32"/>
          <w:szCs w:val="32"/>
        </w:rPr>
        <w:t>3</w:t>
      </w:r>
      <w:r>
        <w:rPr>
          <w:rFonts w:ascii="TimesNewRoman" w:hAnsi="TimesNewRoman" w:eastAsia="仿宋_GB2312" w:cs="TimesNewRoman"/>
          <w:b/>
          <w:sz w:val="32"/>
          <w:szCs w:val="32"/>
        </w:rPr>
        <w:t>年部门预算表</w:t>
      </w:r>
    </w:p>
    <w:p>
      <w:pPr>
        <w:pStyle w:val="6"/>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1.</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年收支总表</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年收入总表</w:t>
      </w:r>
    </w:p>
    <w:p>
      <w:pPr>
        <w:pStyle w:val="6"/>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3.</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年支出总表</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4.</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年财政拨款收支总表</w:t>
      </w:r>
    </w:p>
    <w:p>
      <w:pPr>
        <w:pStyle w:val="6"/>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5.</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年一般公共预算支出表</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年一般公共预算基本支出表</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年政府性基金预算支出表</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年国有资本经营预算支出表</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年项目支出表</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年政府采购支出表</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年政府购买服务支出表</w:t>
      </w:r>
    </w:p>
    <w:p>
      <w:pPr>
        <w:pStyle w:val="6"/>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第三部分 202</w:t>
      </w:r>
      <w:r>
        <w:rPr>
          <w:rFonts w:hint="eastAsia" w:ascii="TimesNewRoman" w:hAnsi="TimesNewRoman" w:eastAsia="仿宋_GB2312" w:cs="TimesNewRoman"/>
          <w:b/>
          <w:sz w:val="32"/>
          <w:szCs w:val="32"/>
        </w:rPr>
        <w:t>3</w:t>
      </w:r>
      <w:r>
        <w:rPr>
          <w:rFonts w:ascii="TimesNewRoman" w:hAnsi="TimesNewRoman" w:eastAsia="仿宋_GB2312" w:cs="TimesNewRoman"/>
          <w:b/>
          <w:sz w:val="32"/>
          <w:szCs w:val="32"/>
        </w:rPr>
        <w:t>年部门预算情况说明</w:t>
      </w:r>
    </w:p>
    <w:p>
      <w:pPr>
        <w:pStyle w:val="6"/>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1.关于202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年收支总表的说明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年收入总表的说明</w:t>
      </w:r>
    </w:p>
    <w:p>
      <w:pPr>
        <w:adjustRightInd w:val="0"/>
        <w:snapToGrid w:val="0"/>
        <w:spacing w:line="560" w:lineRule="exact"/>
        <w:ind w:firstLine="640" w:firstLineChars="200"/>
        <w:rPr>
          <w:rFonts w:ascii="TimesNewRoman" w:hAnsi="TimesNewRoman" w:cs="TimesNewRoman"/>
          <w:bCs/>
          <w:kern w:val="0"/>
          <w:szCs w:val="32"/>
        </w:rPr>
      </w:pPr>
      <w:r>
        <w:rPr>
          <w:rFonts w:ascii="TimesNewRoman" w:hAnsi="TimesNewRoman" w:cs="TimesNewRoman"/>
          <w:bCs/>
          <w:kern w:val="0"/>
          <w:szCs w:val="32"/>
        </w:rPr>
        <w:t>3.关于202</w:t>
      </w:r>
      <w:r>
        <w:rPr>
          <w:rFonts w:hint="eastAsia" w:ascii="TimesNewRoman" w:hAnsi="TimesNewRoman" w:cs="TimesNewRoman"/>
          <w:bCs/>
          <w:kern w:val="0"/>
          <w:szCs w:val="32"/>
        </w:rPr>
        <w:t>3</w:t>
      </w:r>
      <w:r>
        <w:rPr>
          <w:rFonts w:ascii="TimesNewRoman" w:hAnsi="TimesNewRoman" w:cs="TimesNewRoman"/>
          <w:bCs/>
          <w:kern w:val="0"/>
          <w:szCs w:val="32"/>
        </w:rPr>
        <w:t>年支出总表的说明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4.关于202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年财政拨款收支总表的说明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5.关于202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年一般公共预算支出表的说明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年一般公共预算基本支出表的说明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年政府性基金预算支出表的说明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年国有资本经营预算支出表的说明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年项目支出表的说明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年政府采购支出表的说明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年政府购买服务支出表的说明</w:t>
      </w:r>
    </w:p>
    <w:p>
      <w:pPr>
        <w:pStyle w:val="6"/>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12.其他重要事项情况说明</w:t>
      </w:r>
    </w:p>
    <w:p>
      <w:pPr>
        <w:pStyle w:val="6"/>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第四部分 名词解释</w:t>
      </w: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ind w:firstLine="643" w:firstLineChars="200"/>
        <w:rPr>
          <w:rFonts w:ascii="TimesNewRoman" w:hAnsi="TimesNewRoman" w:eastAsia="仿宋_GB2312" w:cs="TimesNewRoman"/>
          <w:b/>
          <w:sz w:val="32"/>
          <w:szCs w:val="32"/>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第一部分 部门概况</w:t>
      </w:r>
    </w:p>
    <w:p>
      <w:pPr>
        <w:pStyle w:val="6"/>
        <w:keepNext w:val="0"/>
        <w:keepLines w:val="0"/>
        <w:pageBreakBefore w:val="0"/>
        <w:kinsoku/>
        <w:wordWrap/>
        <w:overflowPunct/>
        <w:topLinePunct w:val="0"/>
        <w:autoSpaceDE/>
        <w:autoSpaceDN/>
        <w:bidi w:val="0"/>
        <w:adjustRightInd w:val="0"/>
        <w:snapToGrid w:val="0"/>
        <w:spacing w:before="95" w:beforeLines="30" w:after="95" w:afterLines="30" w:line="640" w:lineRule="exact"/>
        <w:ind w:firstLine="627" w:firstLineChars="196"/>
        <w:textAlignment w:val="auto"/>
        <w:rPr>
          <w:rFonts w:ascii="TimesNewRoman" w:hAnsi="TimesNewRoman" w:cs="TimesNewRoman"/>
        </w:rPr>
      </w:pPr>
      <w:r>
        <w:rPr>
          <w:rFonts w:ascii="TimesNewRoman" w:hAnsi="TimesNewRoman" w:eastAsia="黑体" w:cs="TimesNewRoman"/>
          <w:bCs/>
          <w:sz w:val="32"/>
          <w:szCs w:val="32"/>
        </w:rPr>
        <w:t>一、主要职责</w:t>
      </w:r>
    </w:p>
    <w:p>
      <w:pPr>
        <w:keepNext w:val="0"/>
        <w:keepLines w:val="0"/>
        <w:pageBreakBefore w:val="0"/>
        <w:widowControl/>
        <w:kinsoku/>
        <w:wordWrap/>
        <w:overflowPunct/>
        <w:topLinePunct w:val="0"/>
        <w:autoSpaceDE/>
        <w:autoSpaceDN/>
        <w:bidi w:val="0"/>
        <w:spacing w:line="640" w:lineRule="exact"/>
        <w:ind w:firstLine="1120" w:firstLineChars="350"/>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宿松县总工会主要有四项基本职能</w:t>
      </w:r>
    </w:p>
    <w:p>
      <w:pPr>
        <w:keepNext w:val="0"/>
        <w:keepLines w:val="0"/>
        <w:pageBreakBefore w:val="0"/>
        <w:widowControl/>
        <w:kinsoku/>
        <w:wordWrap/>
        <w:overflowPunct/>
        <w:topLinePunct w:val="0"/>
        <w:autoSpaceDE/>
        <w:autoSpaceDN/>
        <w:bidi w:val="0"/>
        <w:adjustRightInd/>
        <w:snapToGrid/>
        <w:spacing w:before="95" w:beforeLines="30" w:after="95" w:afterLines="30" w:line="640" w:lineRule="exact"/>
        <w:ind w:firstLine="641"/>
        <w:jc w:val="left"/>
        <w:textAlignment w:val="auto"/>
        <w:rPr>
          <w:rFonts w:ascii="微软雅黑" w:hAnsi="微软雅黑" w:eastAsia="微软雅黑" w:cs="宋体"/>
          <w:color w:val="000000"/>
          <w:kern w:val="0"/>
          <w:szCs w:val="21"/>
        </w:rPr>
      </w:pPr>
      <w:r>
        <w:rPr>
          <w:rFonts w:hint="eastAsia" w:ascii="仿宋_GB2312" w:hAnsi="黑体" w:eastAsia="仿宋_GB2312"/>
          <w:bCs/>
          <w:sz w:val="32"/>
          <w:szCs w:val="32"/>
        </w:rPr>
        <w:t>（一）</w:t>
      </w:r>
      <w:r>
        <w:rPr>
          <w:rFonts w:hint="eastAsia" w:ascii="仿宋_GB2312" w:hAnsi="微软雅黑" w:eastAsia="仿宋_GB2312" w:cs="宋体"/>
          <w:b/>
          <w:bCs/>
          <w:color w:val="000000"/>
          <w:kern w:val="0"/>
          <w:sz w:val="32"/>
          <w:szCs w:val="32"/>
        </w:rPr>
        <w:t>维 护</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职</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能</w:t>
      </w:r>
    </w:p>
    <w:p>
      <w:pPr>
        <w:keepNext w:val="0"/>
        <w:keepLines w:val="0"/>
        <w:pageBreakBefore w:val="0"/>
        <w:widowControl/>
        <w:kinsoku/>
        <w:wordWrap/>
        <w:overflowPunct/>
        <w:topLinePunct w:val="0"/>
        <w:autoSpaceDE/>
        <w:autoSpaceDN/>
        <w:bidi w:val="0"/>
        <w:spacing w:line="640" w:lineRule="exact"/>
        <w:ind w:firstLine="640" w:firstLineChars="200"/>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中华人民共和国工会法》明确：维护职工的合法权益是工会的基本职责。工会在维护全国人民总体利益的同时，代表和维护职工的合法权益和民主权利。这是我国工会最重要最基本的职能，是工会所以存在的基础。</w:t>
      </w:r>
    </w:p>
    <w:p>
      <w:pPr>
        <w:keepNext w:val="0"/>
        <w:keepLines w:val="0"/>
        <w:pageBreakBefore w:val="0"/>
        <w:widowControl/>
        <w:kinsoku/>
        <w:wordWrap/>
        <w:overflowPunct/>
        <w:topLinePunct w:val="0"/>
        <w:autoSpaceDE/>
        <w:autoSpaceDN/>
        <w:bidi w:val="0"/>
        <w:spacing w:line="640" w:lineRule="exact"/>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    在实现维护职工合法权益职责方面，工会以高度的政治责任感，以《中华人民共和国劳动法》和相关政策法规为依据，监督、规范和保障职工的各项劳动标准，采取建立平等协商、签订集体合同制度等形式形成稳定协调的劳动关系；同时，工会向困难职工伸出援助之手，释疑解难、帮困扶贫，提供法律支持和经济救助，维护职工的工作、生活、劳动安全和受教育权利；工会还配合政府和有关部门切实做好国有企业下岗职工生活保障和再就业工作，认真贯彻落实中央、省、市关于国有企业下岗职工基本生活保障和再就业工作的精神，坚持开展</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送温暖工程</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95" w:beforeLines="30" w:after="95" w:afterLines="30" w:line="640" w:lineRule="exact"/>
        <w:ind w:firstLine="643" w:firstLineChars="200"/>
        <w:jc w:val="left"/>
        <w:textAlignment w:val="auto"/>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2"/>
          <w:szCs w:val="32"/>
        </w:rPr>
        <w:t>（二）参 与</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职</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能</w:t>
      </w:r>
    </w:p>
    <w:p>
      <w:pPr>
        <w:keepNext w:val="0"/>
        <w:keepLines w:val="0"/>
        <w:pageBreakBefore w:val="0"/>
        <w:widowControl/>
        <w:kinsoku/>
        <w:wordWrap/>
        <w:overflowPunct/>
        <w:topLinePunct w:val="0"/>
        <w:autoSpaceDE/>
        <w:autoSpaceDN/>
        <w:bidi w:val="0"/>
        <w:spacing w:line="640" w:lineRule="exact"/>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    工会的参与职能，是工会代表和组织职工参与国家和社会事务管理，参与企业、事业和机关的民主管理。这是由于广大职工在国家政治、经济、文化和社会生活中处于主要地位，并在企业、事业、机关中享有民主权利，工会作为广大会员和职工利益的代表而确定的一项社会职能。</w:t>
      </w:r>
    </w:p>
    <w:p>
      <w:pPr>
        <w:keepNext w:val="0"/>
        <w:keepLines w:val="0"/>
        <w:pageBreakBefore w:val="0"/>
        <w:widowControl/>
        <w:kinsoku/>
        <w:wordWrap/>
        <w:overflowPunct/>
        <w:topLinePunct w:val="0"/>
        <w:autoSpaceDE/>
        <w:autoSpaceDN/>
        <w:bidi w:val="0"/>
        <w:spacing w:line="640" w:lineRule="exact"/>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    中央[1989]12号文件明确指出，工会应当成为广大职工群众有组织、有纪律、有领导地参政议政的民主渠道。各级政府应当逐步建立和完善工会对政府工作民主参与的制度。目前，政府及有关部门在研究制定经济和社会发展计划，制定教育、劳动、工资、社会保障、物价、住房以及其他职工切身利益的重大决策、措施时，有同级工会参加，充分听取工会的意见；各级政府在设立工资、物价等有关职工切身利益的专门机构时，能吸收工会的代表作为正式成员参加工作；某些涉及职工群众切身利益的重大问题，各级政府或政府有关部门能与同级工会分别或共同联署发布文件；各级政府均指定一位负责人加强同工会的联系，帮助工会解决一些具体问题。这些做法措施为工会代表职工参政议政，发挥民主渠道作用，创造了有利条件。</w:t>
      </w:r>
    </w:p>
    <w:p>
      <w:pPr>
        <w:keepNext w:val="0"/>
        <w:keepLines w:val="0"/>
        <w:pageBreakBefore w:val="0"/>
        <w:widowControl/>
        <w:kinsoku/>
        <w:wordWrap/>
        <w:overflowPunct/>
        <w:topLinePunct w:val="0"/>
        <w:autoSpaceDE/>
        <w:autoSpaceDN/>
        <w:bidi w:val="0"/>
        <w:spacing w:line="640" w:lineRule="exact"/>
        <w:ind w:firstLine="640"/>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在基层，工会依法通过职工代表大会和其它形式，组织职工参加本单位的民主管理和民主监督，保障职工依法行使民主权利。工会与企业行政方面建立劳资协商或集体谈判制度，对关系职工切身利益的劳动用工、工资福利、劳动保险、劳动保护等问题，由工会代表职工与行政方面进行协商或谈判，取得一致意见后，用劳动合同、集体合同或谈判协议的形式确定下来，以保护劳动者的合法权益。</w:t>
      </w:r>
    </w:p>
    <w:p>
      <w:pPr>
        <w:keepNext w:val="0"/>
        <w:keepLines w:val="0"/>
        <w:pageBreakBefore w:val="0"/>
        <w:widowControl/>
        <w:kinsoku/>
        <w:wordWrap/>
        <w:overflowPunct/>
        <w:topLinePunct w:val="0"/>
        <w:autoSpaceDE/>
        <w:autoSpaceDN/>
        <w:bidi w:val="0"/>
        <w:adjustRightInd/>
        <w:snapToGrid/>
        <w:spacing w:before="95" w:beforeLines="30" w:after="95" w:afterLines="30" w:line="640" w:lineRule="exact"/>
        <w:ind w:firstLine="641"/>
        <w:jc w:val="left"/>
        <w:textAlignment w:val="auto"/>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2"/>
          <w:szCs w:val="32"/>
        </w:rPr>
        <w:t>（三）建 设</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职</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能</w:t>
      </w:r>
    </w:p>
    <w:p>
      <w:pPr>
        <w:keepNext w:val="0"/>
        <w:keepLines w:val="0"/>
        <w:pageBreakBefore w:val="0"/>
        <w:widowControl/>
        <w:kinsoku/>
        <w:wordWrap/>
        <w:overflowPunct/>
        <w:topLinePunct w:val="0"/>
        <w:autoSpaceDE/>
        <w:autoSpaceDN/>
        <w:bidi w:val="0"/>
        <w:spacing w:line="640" w:lineRule="exact"/>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    工会的建设职能，是动员和组织广大职工群众积极参加改革和建设，努力完成经济和社会发展任务。这是社会主义条件下,我国工会具有的一项社会职能。</w:t>
      </w:r>
    </w:p>
    <w:p>
      <w:pPr>
        <w:keepNext w:val="0"/>
        <w:keepLines w:val="0"/>
        <w:pageBreakBefore w:val="0"/>
        <w:widowControl/>
        <w:kinsoku/>
        <w:wordWrap/>
        <w:overflowPunct/>
        <w:topLinePunct w:val="0"/>
        <w:autoSpaceDE/>
        <w:autoSpaceDN/>
        <w:bidi w:val="0"/>
        <w:spacing w:line="640" w:lineRule="exact"/>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    在实现建设职能方面，工会积极配合各级党政，开展各种形式的活动，引导职工主动为祖国建设、社会繁荣，为企业改革和促进企业发展献计出力。工会还围绕地方和企业各个时期的经济发展目标和企业经营活动的重点和难点，积极组织职工开展以技术创新为主要内容的劳动竞赛和合理化建议、技术革新和发明创造活动，推进企业技术进步、扭亏增盈和提高经济效益。</w:t>
      </w:r>
    </w:p>
    <w:p>
      <w:pPr>
        <w:keepNext w:val="0"/>
        <w:keepLines w:val="0"/>
        <w:pageBreakBefore w:val="0"/>
        <w:widowControl/>
        <w:kinsoku/>
        <w:wordWrap/>
        <w:overflowPunct/>
        <w:topLinePunct w:val="0"/>
        <w:autoSpaceDE/>
        <w:autoSpaceDN/>
        <w:bidi w:val="0"/>
        <w:adjustRightInd/>
        <w:snapToGrid/>
        <w:spacing w:before="95" w:beforeLines="30" w:after="95" w:afterLines="30" w:line="640" w:lineRule="exact"/>
        <w:ind w:firstLine="641"/>
        <w:jc w:val="left"/>
        <w:textAlignment w:val="auto"/>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2"/>
          <w:szCs w:val="32"/>
        </w:rPr>
        <w:t>（四）教 育</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职</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能</w:t>
      </w:r>
    </w:p>
    <w:p>
      <w:pPr>
        <w:keepNext w:val="0"/>
        <w:keepLines w:val="0"/>
        <w:pageBreakBefore w:val="0"/>
        <w:widowControl/>
        <w:kinsoku/>
        <w:wordWrap/>
        <w:overflowPunct/>
        <w:topLinePunct w:val="0"/>
        <w:autoSpaceDE/>
        <w:autoSpaceDN/>
        <w:bidi w:val="0"/>
        <w:spacing w:line="640" w:lineRule="exact"/>
        <w:ind w:firstLine="640"/>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工会的教育职能，是教育职工不断提高思想道德素质和科学文化素质，建设有理想、有道德、有文化、有纪律的职工队伍。这是由工人阶级历史使命与工人阶级成员自身素质的需要确定的。</w:t>
      </w:r>
    </w:p>
    <w:p>
      <w:pPr>
        <w:pStyle w:val="6"/>
        <w:keepNext w:val="0"/>
        <w:keepLines w:val="0"/>
        <w:pageBreakBefore w:val="0"/>
        <w:kinsoku/>
        <w:wordWrap/>
        <w:overflowPunct/>
        <w:topLinePunct w:val="0"/>
        <w:autoSpaceDE/>
        <w:autoSpaceDN/>
        <w:bidi w:val="0"/>
        <w:adjustRightInd w:val="0"/>
        <w:snapToGrid w:val="0"/>
        <w:spacing w:beforeAutospacing="0" w:afterAutospacing="0" w:line="640" w:lineRule="exact"/>
        <w:ind w:firstLine="784" w:firstLineChars="245"/>
        <w:jc w:val="both"/>
        <w:textAlignment w:val="auto"/>
        <w:rPr>
          <w:rFonts w:hint="eastAsia" w:ascii="仿宋_GB2312" w:hAnsi="黑体" w:eastAsia="仿宋_GB2312"/>
          <w:bCs/>
          <w:sz w:val="32"/>
          <w:szCs w:val="32"/>
          <w:lang w:eastAsia="zh-CN"/>
        </w:rPr>
      </w:pPr>
      <w:r>
        <w:rPr>
          <w:rFonts w:hint="eastAsia" w:ascii="仿宋_GB2312" w:hAnsi="微软雅黑" w:eastAsia="仿宋_GB2312" w:cs="宋体"/>
          <w:color w:val="000000"/>
          <w:kern w:val="0"/>
          <w:sz w:val="32"/>
          <w:szCs w:val="32"/>
        </w:rPr>
        <w:t>工会履行教育职能，主要是根据广大职工群众的觉悟水平和不同的兴趣、爱好和要求，通过开展多种多样的群众性活动，吸引职工广泛参加，寓提高职工思想政治觉悟于形式多样、生动活泼的各种活动之中。同时，帮助职工通过各种途径学习科学、文化、技术知识，掌握从事岗位工作的本领。工会在这些群众性的教育活动中，坚持以正面教育为主，以基层活动为主。工会通过吸引职工参加各种实践活动，使广大职工不断增强认识世界和改造世界的能力，逐步锻炼成为有理想、有道德、有文化、有纪律的社会主义劳动者</w:t>
      </w:r>
      <w:r>
        <w:rPr>
          <w:rFonts w:hint="eastAsia" w:ascii="仿宋_GB2312" w:hAnsi="微软雅黑" w:eastAsia="仿宋_GB2312" w:cs="宋体"/>
          <w:color w:val="000000"/>
          <w:kern w:val="0"/>
          <w:sz w:val="32"/>
          <w:szCs w:val="32"/>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27" w:firstLineChars="196"/>
        <w:textAlignment w:val="auto"/>
        <w:rPr>
          <w:rFonts w:ascii="TimesNewRoman" w:hAnsi="TimesNewRoman" w:eastAsia="黑体" w:cs="TimesNewRoman"/>
          <w:bCs/>
          <w:sz w:val="32"/>
          <w:szCs w:val="32"/>
        </w:rPr>
      </w:pPr>
      <w:r>
        <w:rPr>
          <w:rFonts w:ascii="TimesNewRoman" w:hAnsi="TimesNewRoman" w:eastAsia="黑体" w:cs="TimesNewRoman"/>
          <w:bCs/>
          <w:sz w:val="32"/>
          <w:szCs w:val="32"/>
        </w:rPr>
        <w:t>部门预算构成</w:t>
      </w:r>
    </w:p>
    <w:p>
      <w:pPr>
        <w:pStyle w:val="6"/>
        <w:adjustRightInd w:val="0"/>
        <w:snapToGrid w:val="0"/>
        <w:spacing w:line="560" w:lineRule="exact"/>
        <w:ind w:firstLine="480" w:firstLineChars="150"/>
        <w:outlineLvl w:val="0"/>
        <w:rPr>
          <w:rFonts w:ascii="TimesNewRoman" w:hAnsi="TimesNewRoman" w:eastAsia="楷体_GB2312" w:cs="TimesNewRoman"/>
          <w:sz w:val="32"/>
          <w:szCs w:val="32"/>
        </w:rPr>
      </w:pP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val="en-US" w:eastAsia="zh-CN"/>
        </w:rPr>
        <w:t>总工会</w:t>
      </w:r>
      <w:r>
        <w:rPr>
          <w:rFonts w:ascii="TimesNewRoman" w:hAnsi="TimesNewRoman" w:eastAsia="仿宋_GB2312" w:cs="TimesNewRoman"/>
          <w:sz w:val="32"/>
          <w:szCs w:val="32"/>
        </w:rPr>
        <w:t>202</w:t>
      </w:r>
      <w:r>
        <w:rPr>
          <w:rFonts w:hint="eastAsia" w:ascii="TimesNewRoman" w:hAnsi="TimesNewRoman" w:eastAsia="仿宋_GB2312" w:cs="TimesNewRoman"/>
          <w:sz w:val="32"/>
          <w:szCs w:val="32"/>
        </w:rPr>
        <w:t>3</w:t>
      </w:r>
      <w:r>
        <w:rPr>
          <w:rFonts w:ascii="TimesNewRoman" w:hAnsi="TimesNewRoman" w:eastAsia="仿宋_GB2312" w:cs="TimesNewRoman"/>
          <w:sz w:val="32"/>
          <w:szCs w:val="32"/>
        </w:rPr>
        <w:t>年度部门预算仅包括</w:t>
      </w:r>
      <w:r>
        <w:rPr>
          <w:rFonts w:hint="eastAsia" w:ascii="TimesNewRoman" w:hAnsi="TimesNewRoman" w:eastAsia="仿宋_GB2312" w:cs="TimesNewRoman"/>
          <w:sz w:val="32"/>
          <w:szCs w:val="32"/>
        </w:rPr>
        <w:t>局</w:t>
      </w:r>
      <w:r>
        <w:rPr>
          <w:rFonts w:ascii="TimesNewRoman" w:hAnsi="TimesNewRoman" w:eastAsia="仿宋_GB2312" w:cs="TimesNewRoman"/>
          <w:sz w:val="32"/>
          <w:szCs w:val="32"/>
        </w:rPr>
        <w:t>本级预算，无其他下属单位预算。</w:t>
      </w:r>
    </w:p>
    <w:p>
      <w:pPr>
        <w:pStyle w:val="6"/>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480" w:firstLineChars="150"/>
        <w:textAlignment w:val="auto"/>
        <w:outlineLvl w:val="0"/>
        <w:rPr>
          <w:rFonts w:ascii="TimesNewRoman" w:hAnsi="TimesNewRoman" w:eastAsia="黑体" w:cs="TimesNewRoman"/>
          <w:bCs/>
          <w:sz w:val="32"/>
          <w:szCs w:val="32"/>
        </w:rPr>
      </w:pPr>
      <w:r>
        <w:rPr>
          <w:rFonts w:ascii="TimesNewRoman" w:hAnsi="TimesNewRoman" w:eastAsia="黑体" w:cs="TimesNewRoman"/>
          <w:bCs/>
          <w:sz w:val="32"/>
          <w:szCs w:val="32"/>
        </w:rPr>
        <w:t>三、202</w:t>
      </w:r>
      <w:r>
        <w:rPr>
          <w:rFonts w:hint="eastAsia" w:ascii="TimesNewRoman" w:hAnsi="TimesNewRoman" w:eastAsia="黑体" w:cs="TimesNewRoman"/>
          <w:bCs/>
          <w:sz w:val="32"/>
          <w:szCs w:val="32"/>
        </w:rPr>
        <w:t>3</w:t>
      </w:r>
      <w:r>
        <w:rPr>
          <w:rFonts w:ascii="TimesNewRoman" w:hAnsi="TimesNewRoman" w:eastAsia="黑体" w:cs="TimesNewRoman"/>
          <w:bCs/>
          <w:sz w:val="32"/>
          <w:szCs w:val="32"/>
        </w:rPr>
        <w:t>年度主要工作任务</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kern w:val="2"/>
          <w:sz w:val="32"/>
          <w:szCs w:val="32"/>
          <w:lang w:val="en-US" w:eastAsia="zh-CN" w:bidi="ar-SA"/>
        </w:rPr>
        <w:t>2023年，宿松县总工会将深入学习宣传贯彻党的二十大精神，坚持以习近平新时代中国特色社会主义思想为指导，坚定不移走中国特色社会主义工会发展道路，持续深入推进工会改革，不断增强政治性、先进性、群众性，团结动员广大职工为实现第二个百年奋斗目标贡献力量。</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（一）加强党的建设，切实提升工会党的建设水平。</w:t>
      </w:r>
      <w:r>
        <w:rPr>
          <w:rFonts w:hint="eastAsia" w:ascii="仿宋" w:hAnsi="仿宋" w:eastAsia="仿宋" w:cs="仿宋"/>
          <w:kern w:val="2"/>
          <w:sz w:val="32"/>
          <w:szCs w:val="32"/>
          <w:lang w:val="en-US" w:eastAsia="zh-CN" w:bidi="ar-SA"/>
        </w:rPr>
        <w:t xml:space="preserve">坚持以党的政治建设为统领，认真履行“一岗双责”，推动党建与业务融合促进。广泛开展“中国梦·劳动美”主题教育，加强党对工会组织的领导，把职工群众最广泛最紧密地团结在党的周围，将工会工作融入全县发展大局中去安排、去落实，做到“党委有号召，工会有行动”，自觉承担起引导职工群众听党话、跟党走的政治任务，引领教育职工听党话跟党走。 </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（二）凝聚智慧力量，助推职工群众建功新时代。</w:t>
      </w:r>
      <w:r>
        <w:rPr>
          <w:rFonts w:hint="eastAsia" w:ascii="仿宋" w:hAnsi="仿宋" w:eastAsia="仿宋" w:cs="仿宋"/>
          <w:kern w:val="2"/>
          <w:sz w:val="32"/>
          <w:szCs w:val="32"/>
          <w:lang w:val="en-US" w:eastAsia="zh-CN" w:bidi="ar-SA"/>
        </w:rPr>
        <w:t>开展“奋进新征程 建功新时代”主题的宣教活动和劳动技能竞赛，推进全时段全行业劳动竞赛，促进职工技能提升。探索推进新时代产业工人队伍建设改革机制，建立完善的劳动竞赛评价体系。举办劳模系列活动，培育和弘扬劳模精神、劳动精神、工匠精神和创新精神。</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（三）深化维权帮扶，不断提高服务职工能力。</w:t>
      </w:r>
      <w:r>
        <w:rPr>
          <w:rFonts w:hint="eastAsia" w:ascii="仿宋" w:hAnsi="仿宋" w:eastAsia="仿宋" w:cs="仿宋"/>
          <w:kern w:val="2"/>
          <w:sz w:val="32"/>
          <w:szCs w:val="32"/>
          <w:lang w:val="en-US" w:eastAsia="zh-CN" w:bidi="ar-SA"/>
        </w:rPr>
        <w:t>运用“四送”工作品牌，拓展服务内容。着力实施困难职工帮扶民生工程。广泛开展一线职工疗休养、关心关爱环卫工人、农民工免费体检等活动，优化互助保障计划。继续推进发行工会会员卡。扎实开展普法活动，深化“安康杯”竞赛。开展“新就业形态劳动者温暖服务季”活动。以“春季要约”行动为抓手，完善集体协商集体合同制度。做好护劳动领域政治安全工作。</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（四）强化基层建设，进一步推进工会规范化建设。</w:t>
      </w:r>
      <w:r>
        <w:rPr>
          <w:rFonts w:hint="eastAsia" w:ascii="仿宋" w:hAnsi="仿宋" w:eastAsia="仿宋" w:cs="仿宋"/>
          <w:kern w:val="2"/>
          <w:sz w:val="32"/>
          <w:szCs w:val="32"/>
          <w:lang w:val="en-US" w:eastAsia="zh-CN" w:bidi="ar-SA"/>
        </w:rPr>
        <w:t>做好基层工会的建会、入会、管会服务，加大对《工会法》的贯彻落实力度。以货车司机网上入会为切入点以点带面的加快推进新就业形态劳动者建会入会工作。扎实做好工会组织对非公领域从业人员和新就业形态劳动者的政治引领、技能进步、权益保障。</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（五）持续推进工会改革，建设工会工作联系点制度。</w:t>
      </w:r>
      <w:r>
        <w:rPr>
          <w:rFonts w:hint="eastAsia" w:ascii="仿宋" w:hAnsi="仿宋" w:eastAsia="仿宋" w:cs="仿宋"/>
          <w:kern w:val="2"/>
          <w:sz w:val="32"/>
          <w:szCs w:val="32"/>
          <w:lang w:val="en-US" w:eastAsia="zh-CN" w:bidi="ar-SA"/>
        </w:rPr>
        <w:t>县总工会全委会、经审委全体成员，各乡镇（街道）、各系统（局）工会主席全员集中编组，直接联系各乡镇（街道）、各系统（局）工会和部分重点行业、企业工会，指导推进全县工会工作。紧紧围绕省总工会部署的重点工作，从党史学习教育、思想政治引领、政策法规宣传、职工素质提升、典型宣传培育、基层诉求征集和机关干部锻炼等方面，指导、督促和帮助基层工会推进工作落实。</w:t>
      </w:r>
    </w:p>
    <w:p>
      <w:pPr>
        <w:pStyle w:val="6"/>
        <w:adjustRightInd w:val="0"/>
        <w:snapToGrid w:val="0"/>
        <w:spacing w:line="560" w:lineRule="exact"/>
        <w:ind w:firstLine="643" w:firstLineChars="200"/>
        <w:jc w:val="left"/>
        <w:rPr>
          <w:rFonts w:ascii="TimesNewRoman" w:hAnsi="TimesNewRoman" w:eastAsia="黑体" w:cs="TimesNewRoman"/>
          <w:bCs/>
          <w:sz w:val="36"/>
          <w:szCs w:val="36"/>
        </w:rPr>
      </w:pPr>
      <w:r>
        <w:rPr>
          <w:rFonts w:hint="eastAsia" w:ascii="仿宋" w:hAnsi="仿宋" w:eastAsia="仿宋" w:cs="仿宋"/>
          <w:b/>
          <w:bCs/>
          <w:kern w:val="2"/>
          <w:sz w:val="32"/>
          <w:szCs w:val="32"/>
          <w:lang w:val="en-US" w:eastAsia="zh-CN" w:bidi="ar-SA"/>
        </w:rPr>
        <w:t>（六）积极参与县委县政府中心工作。</w:t>
      </w:r>
      <w:r>
        <w:rPr>
          <w:rFonts w:hint="eastAsia" w:ascii="仿宋" w:hAnsi="仿宋" w:eastAsia="仿宋" w:cs="仿宋"/>
          <w:kern w:val="2"/>
          <w:sz w:val="32"/>
          <w:szCs w:val="32"/>
          <w:lang w:val="en-US" w:eastAsia="zh-CN" w:bidi="ar-SA"/>
        </w:rPr>
        <w:t xml:space="preserve">巩固拓展脱贫攻坚成果与乡村振兴有效衔接。开展窗口行业（单位）文明创建督查指导活动，积极参与文明创城。落实禁烟措施，扎实推进控烟，巩固无烟党政机关成果。积极参与疫情防控、综治维稳、安全生产、禁毒、扫黑除恶、信访、招商引资、森林防火等中心工作。开展招商活动，找准切入点，打开招商工作局面。结合工会工作实际，积极宣传扫黑除恶、禁毒、安全生产、信访、森林防火等相关法律知识，为建设平安和谐美丽宿松做出贡献。 </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both"/>
        <w:rPr>
          <w:rFonts w:ascii="TimesNewRoman" w:hAnsi="TimesNewRoman" w:eastAsia="黑体" w:cs="TimesNewRoman"/>
          <w:bCs/>
          <w:sz w:val="36"/>
          <w:szCs w:val="36"/>
        </w:rPr>
      </w:pPr>
    </w:p>
    <w:p>
      <w:pPr>
        <w:pStyle w:val="6"/>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TimesNewRoman" w:hAnsi="TimesNewRoman" w:eastAsia="黑体" w:cs="TimesNewRoman"/>
          <w:bCs/>
          <w:sz w:val="36"/>
          <w:szCs w:val="36"/>
        </w:rPr>
      </w:pPr>
    </w:p>
    <w:p>
      <w:pPr>
        <w:pStyle w:val="6"/>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NewRoman" w:hAnsi="TimesNewRoman" w:eastAsia="黑体" w:cs="TimesNewRoman"/>
          <w:bCs/>
          <w:sz w:val="36"/>
          <w:szCs w:val="36"/>
        </w:rPr>
      </w:pPr>
      <w:r>
        <w:rPr>
          <w:rFonts w:ascii="TimesNewRoman" w:hAnsi="TimesNewRoman" w:eastAsia="黑体" w:cs="TimesNewRoman"/>
          <w:bCs/>
          <w:sz w:val="36"/>
          <w:szCs w:val="36"/>
        </w:rPr>
        <w:t>第二部分 202</w:t>
      </w:r>
      <w:r>
        <w:rPr>
          <w:rFonts w:hint="eastAsia" w:ascii="TimesNewRoman" w:hAnsi="TimesNewRoman" w:eastAsia="黑体" w:cs="TimesNewRoman"/>
          <w:bCs/>
          <w:sz w:val="36"/>
          <w:szCs w:val="36"/>
        </w:rPr>
        <w:t>3</w:t>
      </w:r>
      <w:r>
        <w:rPr>
          <w:rFonts w:ascii="TimesNewRoman" w:hAnsi="TimesNewRoman" w:eastAsia="黑体" w:cs="TimesNewRoman"/>
          <w:bCs/>
          <w:sz w:val="36"/>
          <w:szCs w:val="36"/>
        </w:rPr>
        <w:t>年部门预算表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NewRoman" w:hAnsi="TimesNewRoman" w:cs="TimesNewRoman"/>
          <w:kern w:val="0"/>
          <w:sz w:val="20"/>
        </w:rPr>
      </w:pPr>
      <w:r>
        <w:rPr>
          <w:rFonts w:ascii="TimesNewRoman" w:hAnsi="TimesNewRoman" w:cs="TimesNewRoman"/>
          <w:kern w:val="0"/>
          <w:sz w:val="20"/>
        </w:rPr>
        <w:t xml:space="preserve">  部门公开表1</w:t>
      </w:r>
    </w:p>
    <w:p>
      <w:pPr>
        <w:keepNext w:val="0"/>
        <w:keepLines w:val="0"/>
        <w:pageBreakBefore w:val="0"/>
        <w:widowControl w:val="0"/>
        <w:kinsoku/>
        <w:wordWrap/>
        <w:overflowPunct/>
        <w:topLinePunct w:val="0"/>
        <w:autoSpaceDE/>
        <w:autoSpaceDN/>
        <w:bidi w:val="0"/>
        <w:spacing w:line="360" w:lineRule="exact"/>
        <w:jc w:val="center"/>
        <w:textAlignment w:val="auto"/>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val="en-US" w:eastAsia="zh-CN"/>
        </w:rPr>
        <w:t>总工会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年收支总表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NewRoman" w:hAnsi="TimesNewRoman" w:cs="TimesNewRoman"/>
          <w:kern w:val="0"/>
          <w:sz w:val="20"/>
        </w:rPr>
      </w:pPr>
      <w:r>
        <w:rPr>
          <w:rFonts w:ascii="TimesNewRoman" w:hAnsi="TimesNewRoman" w:cs="TimesNewRoman"/>
          <w:kern w:val="0"/>
          <w:sz w:val="20"/>
        </w:rPr>
        <w:t xml:space="preserve">                                                                          单位：万元</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ascii="TimesNewRoman" w:hAnsi="TimesNewRoman" w:cs="TimesNewRoman"/>
          <w:kern w:val="0"/>
          <w:sz w:val="20"/>
        </w:rPr>
      </w:pPr>
    </w:p>
    <w:tbl>
      <w:tblPr>
        <w:tblStyle w:val="7"/>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819"/>
        <w:gridCol w:w="3467"/>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88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Style w:val="11"/>
                <w:rFonts w:hAnsi="宋体"/>
                <w:lang w:val="en-US" w:eastAsia="zh-CN" w:bidi="ar"/>
              </w:rPr>
              <w:t>收</w:t>
            </w:r>
            <w:r>
              <w:rPr>
                <w:rStyle w:val="12"/>
                <w:lang w:val="en-US" w:eastAsia="zh-CN" w:bidi="ar"/>
              </w:rPr>
              <w:t xml:space="preserve">            </w:t>
            </w:r>
            <w:r>
              <w:rPr>
                <w:rStyle w:val="11"/>
                <w:rFonts w:hAnsi="宋体"/>
                <w:lang w:val="en-US" w:eastAsia="zh-CN" w:bidi="ar"/>
              </w:rPr>
              <w:t>入</w:t>
            </w:r>
          </w:p>
        </w:tc>
        <w:tc>
          <w:tcPr>
            <w:tcW w:w="4350"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1"/>
                <w:rFonts w:hAnsi="宋体"/>
                <w:lang w:val="en-US" w:eastAsia="zh-CN" w:bidi="ar"/>
              </w:rPr>
              <w:t>支</w:t>
            </w:r>
            <w:r>
              <w:rPr>
                <w:rStyle w:val="12"/>
                <w:lang w:val="en-US" w:eastAsia="zh-CN" w:bidi="ar"/>
              </w:rPr>
              <w:t xml:space="preserve">          </w:t>
            </w:r>
            <w:r>
              <w:rPr>
                <w:rStyle w:val="11"/>
                <w:rFonts w:hAnsi="宋体"/>
                <w:lang w:val="en-US" w:eastAsia="zh-CN" w:bidi="ar"/>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1"/>
                <w:rFonts w:hAnsi="宋体"/>
                <w:lang w:val="en-US" w:eastAsia="zh-CN" w:bidi="ar"/>
              </w:rPr>
              <w:t>收</w:t>
            </w:r>
            <w:r>
              <w:rPr>
                <w:rStyle w:val="12"/>
                <w:lang w:val="en-US" w:eastAsia="zh-CN" w:bidi="ar"/>
              </w:rPr>
              <w:t xml:space="preserve"> </w:t>
            </w:r>
            <w:r>
              <w:rPr>
                <w:rStyle w:val="11"/>
                <w:rFonts w:hAnsi="宋体"/>
                <w:lang w:val="en-US" w:eastAsia="zh-CN" w:bidi="ar"/>
              </w:rPr>
              <w:t>入</w:t>
            </w:r>
            <w:r>
              <w:rPr>
                <w:rStyle w:val="12"/>
                <w:lang w:val="en-US" w:eastAsia="zh-CN" w:bidi="ar"/>
              </w:rPr>
              <w:t xml:space="preserve"> </w:t>
            </w:r>
            <w:r>
              <w:rPr>
                <w:rStyle w:val="11"/>
                <w:rFonts w:hAnsi="宋体"/>
                <w:lang w:val="en-US" w:eastAsia="zh-CN" w:bidi="ar"/>
              </w:rPr>
              <w:t>项</w:t>
            </w:r>
            <w:r>
              <w:rPr>
                <w:rStyle w:val="12"/>
                <w:lang w:val="en-US" w:eastAsia="zh-CN" w:bidi="ar"/>
              </w:rPr>
              <w:t xml:space="preserve"> </w:t>
            </w:r>
            <w:r>
              <w:rPr>
                <w:rStyle w:val="11"/>
                <w:rFonts w:hAnsi="宋体"/>
                <w:lang w:val="en-US" w:eastAsia="zh-CN" w:bidi="ar"/>
              </w:rPr>
              <w:t>目</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1"/>
                <w:rFonts w:hAnsi="宋体"/>
                <w:lang w:val="en-US" w:eastAsia="zh-CN" w:bidi="ar"/>
              </w:rPr>
              <w:t>预算数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1"/>
                <w:rFonts w:hAnsi="宋体"/>
                <w:lang w:val="en-US" w:eastAsia="zh-CN" w:bidi="ar"/>
              </w:rPr>
              <w:t>支出功能分类科目</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1"/>
                <w:rFonts w:hAnsi="宋体"/>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一、一般公共预算拨款收入</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264.57</w:t>
            </w: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一、一般公共服务支出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keepNext w:val="0"/>
              <w:keepLines w:val="0"/>
              <w:widowControl/>
              <w:suppressLineNumbers w:val="0"/>
              <w:jc w:val="center"/>
              <w:textAlignment w:val="top"/>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210.93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其中：中央转移支付收入</w:t>
            </w:r>
          </w:p>
        </w:tc>
        <w:tc>
          <w:tcPr>
            <w:tcW w:w="0" w:type="auto"/>
            <w:tcBorders>
              <w:top w:val="nil"/>
              <w:left w:val="single" w:color="000000" w:sz="8" w:space="0"/>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二、外交支出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nil"/>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三、国防支出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二、政府性基金预算拨款收入</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四、公共安全支出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其中：中央转移支付收入</w:t>
            </w:r>
          </w:p>
        </w:tc>
        <w:tc>
          <w:tcPr>
            <w:tcW w:w="0" w:type="auto"/>
            <w:tcBorders>
              <w:top w:val="nil"/>
              <w:left w:val="single" w:color="000000" w:sz="8" w:space="0"/>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五、教育支出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nil"/>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六、科学技术支出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三、国有资本经营预算拨款收入</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七、文化旅游体育与传媒支出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其中：中央转移支付收入</w:t>
            </w:r>
          </w:p>
        </w:tc>
        <w:tc>
          <w:tcPr>
            <w:tcW w:w="0" w:type="auto"/>
            <w:tcBorders>
              <w:top w:val="nil"/>
              <w:left w:val="single" w:color="000000" w:sz="8" w:space="0"/>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八、社会保障和就业支出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keepNext w:val="0"/>
              <w:keepLines w:val="0"/>
              <w:widowControl/>
              <w:suppressLineNumbers w:val="0"/>
              <w:jc w:val="center"/>
              <w:textAlignment w:val="top"/>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43.49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nil"/>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九、卫生健康支出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keepNext w:val="0"/>
              <w:keepLines w:val="0"/>
              <w:widowControl/>
              <w:suppressLineNumbers w:val="0"/>
              <w:jc w:val="center"/>
              <w:textAlignment w:val="top"/>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四、财政专户管理资金收入</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十、节能环保支出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十一、城乡社区支出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五、单位资金收入</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十二、农林水支出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其中：事业收入</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十三、交通运输支出</w:t>
            </w:r>
          </w:p>
        </w:tc>
        <w:tc>
          <w:tcPr>
            <w:tcW w:w="0" w:type="auto"/>
            <w:tcBorders>
              <w:top w:val="single" w:color="000000" w:sz="8" w:space="0"/>
              <w:left w:val="single" w:color="000000" w:sz="8" w:space="0"/>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事业单位经营收入</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十四、资源勘探工业信息等支出</w:t>
            </w:r>
          </w:p>
        </w:tc>
        <w:tc>
          <w:tcPr>
            <w:tcW w:w="0" w:type="auto"/>
            <w:tcBorders>
              <w:top w:val="single" w:color="000000" w:sz="8" w:space="0"/>
              <w:left w:val="nil"/>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上级补助收入</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十五、商业服务业等支出</w:t>
            </w:r>
          </w:p>
        </w:tc>
        <w:tc>
          <w:tcPr>
            <w:tcW w:w="0" w:type="auto"/>
            <w:tcBorders>
              <w:top w:val="single" w:color="000000" w:sz="8" w:space="0"/>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附属单位上缴收入</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十六、金融支出</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b/>
                <w:bCs/>
                <w:i w:val="0"/>
                <w:iCs w:val="0"/>
                <w:color w:val="000000"/>
                <w:sz w:val="20"/>
                <w:szCs w:val="20"/>
                <w:u w:val="none"/>
              </w:rPr>
            </w:pPr>
            <w:r>
              <w:rPr>
                <w:rStyle w:val="11"/>
                <w:rFonts w:hAnsi="宋体"/>
                <w:lang w:val="en-US" w:eastAsia="zh-CN" w:bidi="ar"/>
              </w:rPr>
              <w:t>收</w:t>
            </w:r>
            <w:r>
              <w:rPr>
                <w:rStyle w:val="12"/>
                <w:lang w:val="en-US" w:eastAsia="zh-CN" w:bidi="ar"/>
              </w:rPr>
              <w:t xml:space="preserve">            </w:t>
            </w:r>
            <w:r>
              <w:rPr>
                <w:rStyle w:val="11"/>
                <w:rFonts w:hAnsi="宋体"/>
                <w:lang w:val="en-US" w:eastAsia="zh-CN" w:bidi="ar"/>
              </w:rPr>
              <w:t>入</w:t>
            </w:r>
          </w:p>
        </w:tc>
        <w:tc>
          <w:tcPr>
            <w:tcW w:w="0" w:type="auto"/>
            <w:gridSpan w:val="2"/>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b/>
                <w:bCs/>
                <w:i w:val="0"/>
                <w:iCs w:val="0"/>
                <w:color w:val="000000"/>
                <w:sz w:val="20"/>
                <w:szCs w:val="20"/>
                <w:u w:val="none"/>
              </w:rPr>
            </w:pPr>
            <w:r>
              <w:rPr>
                <w:rStyle w:val="11"/>
                <w:rFonts w:hAnsi="宋体"/>
                <w:lang w:val="en-US" w:eastAsia="zh-CN" w:bidi="ar"/>
              </w:rPr>
              <w:t>支</w:t>
            </w:r>
            <w:r>
              <w:rPr>
                <w:rStyle w:val="12"/>
                <w:lang w:val="en-US" w:eastAsia="zh-CN" w:bidi="ar"/>
              </w:rPr>
              <w:t xml:space="preserve">          </w:t>
            </w:r>
            <w:r>
              <w:rPr>
                <w:rStyle w:val="11"/>
                <w:rFonts w:hAnsi="宋体"/>
                <w:lang w:val="en-US" w:eastAsia="zh-CN" w:bidi="ar"/>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其他收入</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十七、援助其他地区支出</w:t>
            </w:r>
          </w:p>
        </w:tc>
        <w:tc>
          <w:tcPr>
            <w:tcW w:w="0" w:type="auto"/>
            <w:tcBorders>
              <w:top w:val="single" w:color="000000" w:sz="8" w:space="0"/>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十八、自然资源海洋气象等支出</w:t>
            </w:r>
          </w:p>
        </w:tc>
        <w:tc>
          <w:tcPr>
            <w:tcW w:w="0" w:type="auto"/>
            <w:tcBorders>
              <w:top w:val="nil"/>
              <w:left w:val="nil"/>
              <w:bottom w:val="nil"/>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十九、住房保障支出</w:t>
            </w:r>
          </w:p>
        </w:tc>
        <w:tc>
          <w:tcPr>
            <w:tcW w:w="0" w:type="auto"/>
            <w:tcBorders>
              <w:top w:val="single" w:color="000000" w:sz="8" w:space="0"/>
              <w:left w:val="nil"/>
              <w:bottom w:val="nil"/>
              <w:right w:val="single" w:color="000000" w:sz="8" w:space="0"/>
            </w:tcBorders>
            <w:shd w:val="clear" w:color="auto" w:fill="auto"/>
            <w:noWrap/>
            <w:vAlign w:val="top"/>
          </w:tcPr>
          <w:p>
            <w:pPr>
              <w:keepNext w:val="0"/>
              <w:keepLines w:val="0"/>
              <w:widowControl/>
              <w:suppressLineNumbers w:val="0"/>
              <w:jc w:val="center"/>
              <w:textAlignment w:val="top"/>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二十、粮油物资储备支出</w:t>
            </w:r>
          </w:p>
        </w:tc>
        <w:tc>
          <w:tcPr>
            <w:tcW w:w="0" w:type="auto"/>
            <w:tcBorders>
              <w:top w:val="single" w:color="000000" w:sz="8" w:space="0"/>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二十一、灾害防治及应急管理支出</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二十二、预备费</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二十三、其他支出</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二十四、转移性支出</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二十五、债务还本支出</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nil"/>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二十六、债务付息支出</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nil"/>
            </w:tcBorders>
            <w:shd w:val="clear" w:color="auto" w:fill="auto"/>
            <w:noWrap/>
            <w:vAlign w:val="top"/>
          </w:tcPr>
          <w:p>
            <w:pPr>
              <w:jc w:val="left"/>
              <w:rPr>
                <w:rFonts w:hint="default" w:ascii="仿宋_GB2312" w:hAnsi="宋体" w:eastAsia="仿宋_GB2312" w:cs="仿宋_GB2312"/>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二十七、债务发行费用支出</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本</w:t>
            </w:r>
            <w:r>
              <w:rPr>
                <w:rStyle w:val="14"/>
                <w:lang w:val="en-US" w:eastAsia="zh-CN" w:bidi="ar"/>
              </w:rPr>
              <w:t xml:space="preserve">  </w:t>
            </w:r>
            <w:r>
              <w:rPr>
                <w:rStyle w:val="13"/>
                <w:rFonts w:hAnsi="宋体"/>
                <w:lang w:val="en-US" w:eastAsia="zh-CN" w:bidi="ar"/>
              </w:rPr>
              <w:t>年</w:t>
            </w:r>
            <w:r>
              <w:rPr>
                <w:rStyle w:val="14"/>
                <w:lang w:val="en-US" w:eastAsia="zh-CN" w:bidi="ar"/>
              </w:rPr>
              <w:t xml:space="preserve">  </w:t>
            </w:r>
            <w:r>
              <w:rPr>
                <w:rStyle w:val="13"/>
                <w:rFonts w:hAnsi="宋体"/>
                <w:lang w:val="en-US" w:eastAsia="zh-CN" w:bidi="ar"/>
              </w:rPr>
              <w:t>收</w:t>
            </w:r>
            <w:r>
              <w:rPr>
                <w:rStyle w:val="14"/>
                <w:lang w:val="en-US" w:eastAsia="zh-CN" w:bidi="ar"/>
              </w:rPr>
              <w:t xml:space="preserve">  </w:t>
            </w:r>
            <w:r>
              <w:rPr>
                <w:rStyle w:val="13"/>
                <w:rFonts w:hAnsi="宋体"/>
                <w:lang w:val="en-US" w:eastAsia="zh-CN" w:bidi="ar"/>
              </w:rPr>
              <w:t>入</w:t>
            </w:r>
            <w:r>
              <w:rPr>
                <w:rStyle w:val="14"/>
                <w:lang w:val="en-US" w:eastAsia="zh-CN" w:bidi="ar"/>
              </w:rPr>
              <w:t xml:space="preserve">  </w:t>
            </w:r>
            <w:r>
              <w:rPr>
                <w:rStyle w:val="13"/>
                <w:rFonts w:hAnsi="宋体"/>
                <w:lang w:val="en-US" w:eastAsia="zh-CN" w:bidi="ar"/>
              </w:rPr>
              <w:t>小</w:t>
            </w:r>
            <w:r>
              <w:rPr>
                <w:rStyle w:val="14"/>
                <w:lang w:val="en-US" w:eastAsia="zh-CN" w:bidi="ar"/>
              </w:rPr>
              <w:t xml:space="preserve">  </w:t>
            </w:r>
            <w:r>
              <w:rPr>
                <w:rStyle w:val="13"/>
                <w:rFonts w:hAnsi="宋体"/>
                <w:lang w:val="en-US" w:eastAsia="zh-CN" w:bidi="ar"/>
              </w:rPr>
              <w:t>计</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264.57</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本</w:t>
            </w:r>
            <w:r>
              <w:rPr>
                <w:rStyle w:val="14"/>
                <w:lang w:val="en-US" w:eastAsia="zh-CN" w:bidi="ar"/>
              </w:rPr>
              <w:t xml:space="preserve">  </w:t>
            </w:r>
            <w:r>
              <w:rPr>
                <w:rStyle w:val="13"/>
                <w:rFonts w:hAnsi="宋体"/>
                <w:lang w:val="en-US" w:eastAsia="zh-CN" w:bidi="ar"/>
              </w:rPr>
              <w:t>年</w:t>
            </w:r>
            <w:r>
              <w:rPr>
                <w:rStyle w:val="14"/>
                <w:lang w:val="en-US" w:eastAsia="zh-CN" w:bidi="ar"/>
              </w:rPr>
              <w:t xml:space="preserve">  </w:t>
            </w:r>
            <w:r>
              <w:rPr>
                <w:rStyle w:val="13"/>
                <w:rFonts w:hAnsi="宋体"/>
                <w:lang w:val="en-US" w:eastAsia="zh-CN" w:bidi="ar"/>
              </w:rPr>
              <w:t>支</w:t>
            </w:r>
            <w:r>
              <w:rPr>
                <w:rStyle w:val="14"/>
                <w:lang w:val="en-US" w:eastAsia="zh-CN" w:bidi="ar"/>
              </w:rPr>
              <w:t xml:space="preserve">  </w:t>
            </w:r>
            <w:r>
              <w:rPr>
                <w:rStyle w:val="13"/>
                <w:rFonts w:hAnsi="宋体"/>
                <w:lang w:val="en-US" w:eastAsia="zh-CN" w:bidi="ar"/>
              </w:rPr>
              <w:t>出</w:t>
            </w:r>
            <w:r>
              <w:rPr>
                <w:rStyle w:val="14"/>
                <w:lang w:val="en-US" w:eastAsia="zh-CN" w:bidi="ar"/>
              </w:rPr>
              <w:t xml:space="preserve">  </w:t>
            </w:r>
            <w:r>
              <w:rPr>
                <w:rStyle w:val="13"/>
                <w:rFonts w:hAnsi="宋体"/>
                <w:lang w:val="en-US" w:eastAsia="zh-CN" w:bidi="ar"/>
              </w:rPr>
              <w:t>小</w:t>
            </w:r>
            <w:r>
              <w:rPr>
                <w:rStyle w:val="14"/>
                <w:lang w:val="en-US" w:eastAsia="zh-CN" w:bidi="ar"/>
              </w:rPr>
              <w:t xml:space="preserve">  </w:t>
            </w:r>
            <w:r>
              <w:rPr>
                <w:rStyle w:val="13"/>
                <w:rFonts w:hAnsi="宋体"/>
                <w:lang w:val="en-US" w:eastAsia="zh-CN" w:bidi="ar"/>
              </w:rPr>
              <w:t>计</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上年结转数</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0"/>
                <w:szCs w:val="20"/>
                <w:u w:val="none"/>
              </w:rPr>
            </w:pPr>
            <w:r>
              <w:rPr>
                <w:rStyle w:val="13"/>
                <w:rFonts w:hAnsi="宋体"/>
                <w:lang w:val="en-US" w:eastAsia="zh-CN" w:bidi="ar"/>
              </w:rPr>
              <w:t>结转下年</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一般公共预算</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一般公共预算</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政府性基金预算</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政府性基金预算</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国有资本经营预算</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国有资本经营预算</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财政专户管理资金</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财政专户管理资金</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单位资金</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default" w:ascii="TimesNewRoman" w:hAnsi="TimesNewRoman" w:eastAsia="TimesNewRoman" w:cs="TimesNewRoman"/>
                <w:i w:val="0"/>
                <w:iCs w:val="0"/>
                <w:color w:val="000000"/>
                <w:sz w:val="20"/>
                <w:szCs w:val="20"/>
                <w:u w:val="none"/>
              </w:rPr>
            </w:pPr>
            <w:r>
              <w:rPr>
                <w:rStyle w:val="14"/>
                <w:lang w:val="en-US" w:eastAsia="zh-CN" w:bidi="ar"/>
              </w:rPr>
              <w:t xml:space="preserve">    </w:t>
            </w:r>
            <w:r>
              <w:rPr>
                <w:rStyle w:val="13"/>
                <w:rFonts w:hAnsi="TimesNewRoman"/>
                <w:lang w:val="en-US" w:eastAsia="zh-CN" w:bidi="ar"/>
              </w:rPr>
              <w:t>单位资金</w:t>
            </w:r>
          </w:p>
        </w:tc>
        <w:tc>
          <w:tcPr>
            <w:tcW w:w="0" w:type="auto"/>
            <w:tcBorders>
              <w:top w:val="nil"/>
              <w:left w:val="nil"/>
              <w:bottom w:val="single" w:color="000000" w:sz="8" w:space="0"/>
              <w:right w:val="single" w:color="000000" w:sz="8" w:space="0"/>
            </w:tcBorders>
            <w:shd w:val="clear" w:color="auto" w:fill="auto"/>
            <w:noWrap/>
            <w:vAlign w:val="top"/>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b/>
                <w:bCs/>
                <w:i w:val="0"/>
                <w:iCs w:val="0"/>
                <w:color w:val="000000"/>
                <w:sz w:val="20"/>
                <w:szCs w:val="20"/>
                <w:u w:val="none"/>
              </w:rPr>
            </w:pPr>
            <w:r>
              <w:rPr>
                <w:rStyle w:val="11"/>
                <w:rFonts w:hAnsi="宋体"/>
                <w:lang w:val="en-US" w:eastAsia="zh-CN" w:bidi="ar"/>
              </w:rPr>
              <w:t>收</w:t>
            </w:r>
            <w:r>
              <w:rPr>
                <w:rStyle w:val="12"/>
                <w:lang w:val="en-US" w:eastAsia="zh-CN" w:bidi="ar"/>
              </w:rPr>
              <w:t xml:space="preserve">   </w:t>
            </w:r>
            <w:r>
              <w:rPr>
                <w:rStyle w:val="11"/>
                <w:rFonts w:hAnsi="宋体"/>
                <w:lang w:val="en-US" w:eastAsia="zh-CN" w:bidi="ar"/>
              </w:rPr>
              <w:t>入</w:t>
            </w:r>
            <w:r>
              <w:rPr>
                <w:rStyle w:val="12"/>
                <w:lang w:val="en-US" w:eastAsia="zh-CN" w:bidi="ar"/>
              </w:rPr>
              <w:t xml:space="preserve">   </w:t>
            </w:r>
            <w:r>
              <w:rPr>
                <w:rStyle w:val="11"/>
                <w:rFonts w:hAnsi="宋体"/>
                <w:lang w:val="en-US" w:eastAsia="zh-CN" w:bidi="ar"/>
              </w:rPr>
              <w:t>总</w:t>
            </w:r>
            <w:r>
              <w:rPr>
                <w:rStyle w:val="12"/>
                <w:lang w:val="en-US" w:eastAsia="zh-CN" w:bidi="ar"/>
              </w:rPr>
              <w:t xml:space="preserve">   </w:t>
            </w:r>
            <w:r>
              <w:rPr>
                <w:rStyle w:val="11"/>
                <w:rFonts w:hAnsi="宋体"/>
                <w:lang w:val="en-US" w:eastAsia="zh-CN" w:bidi="ar"/>
              </w:rPr>
              <w:t>计</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264.57</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b/>
                <w:bCs/>
                <w:i w:val="0"/>
                <w:iCs w:val="0"/>
                <w:color w:val="000000"/>
                <w:sz w:val="20"/>
                <w:szCs w:val="20"/>
                <w:u w:val="none"/>
              </w:rPr>
            </w:pPr>
            <w:r>
              <w:rPr>
                <w:rStyle w:val="11"/>
                <w:rFonts w:hAnsi="宋体"/>
                <w:lang w:val="en-US" w:eastAsia="zh-CN" w:bidi="ar"/>
              </w:rPr>
              <w:t>支　出</w:t>
            </w:r>
            <w:r>
              <w:rPr>
                <w:rStyle w:val="12"/>
                <w:lang w:val="en-US" w:eastAsia="zh-CN" w:bidi="ar"/>
              </w:rPr>
              <w:t xml:space="preserve">  </w:t>
            </w:r>
            <w:r>
              <w:rPr>
                <w:rStyle w:val="11"/>
                <w:rFonts w:hAnsi="宋体"/>
                <w:lang w:val="en-US" w:eastAsia="zh-CN" w:bidi="ar"/>
              </w:rPr>
              <w:t>总　计</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264.57</w:t>
            </w:r>
          </w:p>
        </w:tc>
      </w:tr>
    </w:tbl>
    <w:p>
      <w:pPr>
        <w:pStyle w:val="2"/>
        <w:sectPr>
          <w:footerReference r:id="rId3" w:type="default"/>
          <w:pgSz w:w="11906" w:h="16838"/>
          <w:pgMar w:top="1440" w:right="1800" w:bottom="1440" w:left="1800" w:header="851" w:footer="992" w:gutter="0"/>
          <w:pgNumType w:fmt="numberInDash" w:start="7"/>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NewRoman" w:hAnsi="TimesNewRoman" w:cs="TimesNewRoman"/>
          <w:kern w:val="0"/>
          <w:sz w:val="20"/>
        </w:rPr>
      </w:pPr>
      <w:r>
        <w:rPr>
          <w:rFonts w:ascii="TimesNewRoman" w:hAnsi="TimesNewRoman" w:cs="TimesNewRoman"/>
          <w:kern w:val="0"/>
          <w:sz w:val="20"/>
        </w:rPr>
        <w:t>部门公开表2</w:t>
      </w:r>
    </w:p>
    <w:p>
      <w:pPr>
        <w:keepNext w:val="0"/>
        <w:keepLines w:val="0"/>
        <w:pageBreakBefore w:val="0"/>
        <w:widowControl w:val="0"/>
        <w:kinsoku/>
        <w:wordWrap/>
        <w:overflowPunct/>
        <w:topLinePunct w:val="0"/>
        <w:autoSpaceDE/>
        <w:autoSpaceDN/>
        <w:bidi w:val="0"/>
        <w:adjustRightInd/>
        <w:snapToGrid/>
        <w:spacing w:beforeLines="50" w:afterLines="50" w:line="400" w:lineRule="exact"/>
        <w:jc w:val="center"/>
        <w:textAlignment w:val="auto"/>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val="en-US" w:eastAsia="zh-CN"/>
        </w:rPr>
        <w:t>总工会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年收入总表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NewRoman" w:hAnsi="TimesNewRoman" w:cs="TimesNewRoman"/>
          <w:kern w:val="0"/>
          <w:sz w:val="20"/>
        </w:rPr>
      </w:pPr>
      <w:r>
        <w:rPr>
          <w:rFonts w:ascii="TimesNewRoman" w:hAnsi="TimesNewRoman" w:cs="TimesNewRoman"/>
          <w:kern w:val="0"/>
          <w:sz w:val="20"/>
        </w:rPr>
        <w:t xml:space="preserve">                                                                                                                                单位：万元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TimesNewRoman" w:hAnsi="TimesNewRoman" w:cs="TimesNewRoman"/>
        </w:rPr>
      </w:pPr>
    </w:p>
    <w:tbl>
      <w:tblPr>
        <w:tblStyle w:val="7"/>
        <w:tblW w:w="14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0"/>
        <w:gridCol w:w="816"/>
        <w:gridCol w:w="816"/>
        <w:gridCol w:w="816"/>
        <w:gridCol w:w="705"/>
        <w:gridCol w:w="705"/>
        <w:gridCol w:w="705"/>
        <w:gridCol w:w="417"/>
        <w:gridCol w:w="555"/>
        <w:gridCol w:w="951"/>
        <w:gridCol w:w="705"/>
        <w:gridCol w:w="786"/>
        <w:gridCol w:w="525"/>
        <w:gridCol w:w="384"/>
        <w:gridCol w:w="765"/>
        <w:gridCol w:w="705"/>
        <w:gridCol w:w="705"/>
        <w:gridCol w:w="705"/>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3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Style w:val="15"/>
                <w:rFonts w:hAnsi="宋体"/>
                <w:lang w:val="en-US" w:eastAsia="zh-CN" w:bidi="ar"/>
              </w:rPr>
              <w:t>部门名称</w:t>
            </w:r>
          </w:p>
        </w:tc>
        <w:tc>
          <w:tcPr>
            <w:tcW w:w="816"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5"/>
                <w:rFonts w:hAnsi="宋体"/>
                <w:lang w:val="en-US" w:eastAsia="zh-CN" w:bidi="ar"/>
              </w:rPr>
              <w:t>合计</w:t>
            </w:r>
          </w:p>
        </w:tc>
        <w:tc>
          <w:tcPr>
            <w:tcW w:w="7686" w:type="dxa"/>
            <w:gridSpan w:val="11"/>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5"/>
                <w:rFonts w:hAnsi="宋体"/>
                <w:lang w:val="en-US" w:eastAsia="zh-CN" w:bidi="ar"/>
              </w:rPr>
              <w:t>本年收入</w:t>
            </w:r>
          </w:p>
        </w:tc>
        <w:tc>
          <w:tcPr>
            <w:tcW w:w="3759" w:type="dxa"/>
            <w:gridSpan w:val="6"/>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5"/>
                <w:rFonts w:hAnsi="宋体"/>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b/>
                <w:bCs/>
                <w:i w:val="0"/>
                <w:iCs w:val="0"/>
                <w:color w:val="000000"/>
                <w:sz w:val="20"/>
                <w:szCs w:val="20"/>
                <w:u w:val="none"/>
              </w:rPr>
            </w:pPr>
          </w:p>
        </w:tc>
        <w:tc>
          <w:tcPr>
            <w:tcW w:w="816"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b/>
                <w:bCs/>
                <w:i w:val="0"/>
                <w:iCs w:val="0"/>
                <w:color w:val="000000"/>
                <w:sz w:val="20"/>
                <w:szCs w:val="20"/>
                <w:u w:val="none"/>
              </w:rPr>
            </w:pPr>
          </w:p>
        </w:tc>
        <w:tc>
          <w:tcPr>
            <w:tcW w:w="816" w:type="dxa"/>
            <w:vMerge w:val="restar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5"/>
                <w:rFonts w:hAnsi="宋体"/>
                <w:lang w:val="en-US" w:eastAsia="zh-CN" w:bidi="ar"/>
              </w:rPr>
              <w:t>小计</w:t>
            </w:r>
          </w:p>
        </w:tc>
        <w:tc>
          <w:tcPr>
            <w:tcW w:w="816"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一般公</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共预算</w:t>
            </w:r>
          </w:p>
        </w:tc>
        <w:tc>
          <w:tcPr>
            <w:tcW w:w="70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政府性</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基金预</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算</w:t>
            </w:r>
          </w:p>
        </w:tc>
        <w:tc>
          <w:tcPr>
            <w:tcW w:w="7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国有资</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本经营</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预算</w:t>
            </w:r>
          </w:p>
        </w:tc>
        <w:tc>
          <w:tcPr>
            <w:tcW w:w="7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财政专</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户管理</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资金</w:t>
            </w:r>
          </w:p>
        </w:tc>
        <w:tc>
          <w:tcPr>
            <w:tcW w:w="3939" w:type="dxa"/>
            <w:gridSpan w:val="6"/>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15"/>
                <w:rFonts w:hAnsi="宋体"/>
                <w:lang w:val="en-US" w:eastAsia="zh-CN" w:bidi="ar"/>
              </w:rPr>
              <w:t>单位资金</w:t>
            </w:r>
          </w:p>
        </w:tc>
        <w:tc>
          <w:tcPr>
            <w:tcW w:w="384"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小</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计</w:t>
            </w:r>
          </w:p>
        </w:tc>
        <w:tc>
          <w:tcPr>
            <w:tcW w:w="76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一般公</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共预算</w:t>
            </w:r>
          </w:p>
        </w:tc>
        <w:tc>
          <w:tcPr>
            <w:tcW w:w="70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政府性</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基金预</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算</w:t>
            </w:r>
          </w:p>
        </w:tc>
        <w:tc>
          <w:tcPr>
            <w:tcW w:w="70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国有资</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本经营</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预算</w:t>
            </w:r>
          </w:p>
        </w:tc>
        <w:tc>
          <w:tcPr>
            <w:tcW w:w="70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财政专</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户管理</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资金</w:t>
            </w:r>
          </w:p>
        </w:tc>
        <w:tc>
          <w:tcPr>
            <w:tcW w:w="49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单位</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b/>
                <w:bCs/>
                <w:i w:val="0"/>
                <w:iCs w:val="0"/>
                <w:color w:val="000000"/>
                <w:sz w:val="20"/>
                <w:szCs w:val="20"/>
                <w:u w:val="none"/>
              </w:rPr>
            </w:pPr>
          </w:p>
        </w:tc>
        <w:tc>
          <w:tcPr>
            <w:tcW w:w="816"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b/>
                <w:bCs/>
                <w:i w:val="0"/>
                <w:iCs w:val="0"/>
                <w:color w:val="000000"/>
                <w:sz w:val="20"/>
                <w:szCs w:val="20"/>
                <w:u w:val="none"/>
              </w:rPr>
            </w:pPr>
          </w:p>
        </w:tc>
        <w:tc>
          <w:tcPr>
            <w:tcW w:w="816" w:type="dxa"/>
            <w:vMerge w:val="continue"/>
            <w:tcBorders>
              <w:top w:val="nil"/>
              <w:left w:val="nil"/>
              <w:bottom w:val="nil"/>
              <w:right w:val="single" w:color="000000" w:sz="8" w:space="0"/>
            </w:tcBorders>
            <w:shd w:val="clear" w:color="auto" w:fill="auto"/>
            <w:noWrap/>
            <w:vAlign w:val="center"/>
          </w:tcPr>
          <w:p>
            <w:pPr>
              <w:jc w:val="center"/>
              <w:rPr>
                <w:rFonts w:hint="default" w:ascii="仿宋_GB2312" w:hAnsi="宋体" w:eastAsia="仿宋_GB2312" w:cs="仿宋_GB2312"/>
                <w:b/>
                <w:bCs/>
                <w:i w:val="0"/>
                <w:iCs w:val="0"/>
                <w:color w:val="000000"/>
                <w:sz w:val="20"/>
                <w:szCs w:val="20"/>
                <w:u w:val="none"/>
              </w:rPr>
            </w:pPr>
          </w:p>
        </w:tc>
        <w:tc>
          <w:tcPr>
            <w:tcW w:w="816"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05"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0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0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小</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计</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事业</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ascii="TimesNewRoman" w:hAnsi="TimesNewRoman" w:eastAsia="TimesNewRoman" w:cs="TimesNewRoman"/>
                <w:b/>
                <w:bCs/>
                <w:i w:val="0"/>
                <w:iCs w:val="0"/>
                <w:color w:val="000000"/>
                <w:kern w:val="0"/>
                <w:sz w:val="20"/>
                <w:szCs w:val="20"/>
                <w:u w:val="none"/>
                <w:lang w:val="en-US" w:eastAsia="zh-CN" w:bidi="ar"/>
              </w:rPr>
              <w:t xml:space="preserve"> </w:t>
            </w:r>
            <w:r>
              <w:rPr>
                <w:rStyle w:val="15"/>
                <w:rFonts w:hAnsi="宋体"/>
                <w:lang w:val="en-US" w:eastAsia="zh-CN" w:bidi="ar"/>
              </w:rPr>
              <w:t>收入</w:t>
            </w:r>
          </w:p>
        </w:tc>
        <w:tc>
          <w:tcPr>
            <w:tcW w:w="9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事业单</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位经营</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收入</w:t>
            </w:r>
          </w:p>
        </w:tc>
        <w:tc>
          <w:tcPr>
            <w:tcW w:w="70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上级补</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助收入</w:t>
            </w:r>
          </w:p>
        </w:tc>
        <w:tc>
          <w:tcPr>
            <w:tcW w:w="78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附属单</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位上缴</w:t>
            </w:r>
            <w:r>
              <w:rPr>
                <w:rFonts w:hint="default" w:ascii="仿宋_GB2312" w:hAnsi="宋体" w:eastAsia="仿宋_GB2312" w:cs="仿宋_GB2312"/>
                <w:b/>
                <w:bCs/>
                <w:i w:val="0"/>
                <w:iCs w:val="0"/>
                <w:color w:val="000000"/>
                <w:kern w:val="0"/>
                <w:sz w:val="20"/>
                <w:szCs w:val="20"/>
                <w:u w:val="none"/>
                <w:lang w:val="en-US" w:eastAsia="zh-CN" w:bidi="ar"/>
              </w:rPr>
              <w:br w:type="textWrapping"/>
            </w:r>
            <w:r>
              <w:rPr>
                <w:rFonts w:hint="default" w:ascii="仿宋_GB2312" w:hAnsi="宋体" w:eastAsia="仿宋_GB2312" w:cs="仿宋_GB2312"/>
                <w:b/>
                <w:bCs/>
                <w:i w:val="0"/>
                <w:iCs w:val="0"/>
                <w:color w:val="000000"/>
                <w:kern w:val="0"/>
                <w:sz w:val="20"/>
                <w:szCs w:val="20"/>
                <w:u w:val="none"/>
                <w:lang w:val="en-US" w:eastAsia="zh-CN" w:bidi="ar"/>
              </w:rPr>
              <w:t>收入</w:t>
            </w:r>
          </w:p>
        </w:tc>
        <w:tc>
          <w:tcPr>
            <w:tcW w:w="52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其他</w:t>
            </w:r>
            <w:r>
              <w:rPr>
                <w:rFonts w:ascii="TimesNewRoman" w:hAnsi="TimesNewRoman" w:eastAsia="TimesNewRoman" w:cs="TimesNewRoman"/>
                <w:b/>
                <w:bCs/>
                <w:i w:val="0"/>
                <w:iCs w:val="0"/>
                <w:color w:val="000000"/>
                <w:kern w:val="0"/>
                <w:sz w:val="20"/>
                <w:szCs w:val="20"/>
                <w:u w:val="none"/>
                <w:lang w:val="en-US" w:eastAsia="zh-CN" w:bidi="ar"/>
              </w:rPr>
              <w:t xml:space="preserve">  </w:t>
            </w:r>
            <w:r>
              <w:rPr>
                <w:rFonts w:ascii="TimesNewRoman" w:hAnsi="TimesNewRoman" w:eastAsia="TimesNewRoman" w:cs="TimesNewRoman"/>
                <w:b/>
                <w:bCs/>
                <w:i w:val="0"/>
                <w:iCs w:val="0"/>
                <w:color w:val="000000"/>
                <w:kern w:val="0"/>
                <w:sz w:val="20"/>
                <w:szCs w:val="20"/>
                <w:u w:val="none"/>
                <w:lang w:val="en-US" w:eastAsia="zh-CN" w:bidi="ar"/>
              </w:rPr>
              <w:br w:type="textWrapping"/>
            </w:r>
            <w:r>
              <w:rPr>
                <w:rFonts w:ascii="TimesNewRoman" w:hAnsi="TimesNewRoman" w:eastAsia="TimesNewRoman" w:cs="TimesNewRoman"/>
                <w:b/>
                <w:bCs/>
                <w:i w:val="0"/>
                <w:iCs w:val="0"/>
                <w:color w:val="000000"/>
                <w:kern w:val="0"/>
                <w:sz w:val="20"/>
                <w:szCs w:val="20"/>
                <w:u w:val="none"/>
                <w:lang w:val="en-US" w:eastAsia="zh-CN" w:bidi="ar"/>
              </w:rPr>
              <w:t xml:space="preserve"> </w:t>
            </w:r>
            <w:r>
              <w:rPr>
                <w:rStyle w:val="15"/>
                <w:rFonts w:hAnsi="宋体"/>
                <w:lang w:val="en-US" w:eastAsia="zh-CN" w:bidi="ar"/>
              </w:rPr>
              <w:t>收入</w:t>
            </w:r>
          </w:p>
        </w:tc>
        <w:tc>
          <w:tcPr>
            <w:tcW w:w="3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65"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05"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05"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05"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495"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7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宿松县总工会</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264.57</w:t>
            </w:r>
          </w:p>
        </w:tc>
        <w:tc>
          <w:tcPr>
            <w:tcW w:w="81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264.57</w:t>
            </w:r>
          </w:p>
        </w:tc>
        <w:tc>
          <w:tcPr>
            <w:tcW w:w="81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264.57</w:t>
            </w:r>
          </w:p>
        </w:tc>
        <w:tc>
          <w:tcPr>
            <w:tcW w:w="70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17"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5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951"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86"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84"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6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9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机关事业单位职业年金</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缴费支出</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4.83</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4.83</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4.83</w:t>
            </w: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17"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5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951"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86"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2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84"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6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9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27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行政单位离退休</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28.99</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28.99</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28.99</w:t>
            </w: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17"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5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951"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86"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2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84"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6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9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7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机关事业单位基本养老</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保险缴费支出</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9.67</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9.67</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9.67</w:t>
            </w: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17"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5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951"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86"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2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84"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6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9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住房公积金</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7.25</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7.25</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7.25</w:t>
            </w: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17"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5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951"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86"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2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84"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6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9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7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行政单位医疗</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2.9</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2.9</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2.9</w:t>
            </w: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17"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5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951"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86"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2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84"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6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9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其他群众团体事务支出</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145.37</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145.37</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145.37</w:t>
            </w: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17"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5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951"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86"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2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84"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6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9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7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工会事务</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65.56</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65.56</w:t>
            </w:r>
          </w:p>
        </w:tc>
        <w:tc>
          <w:tcPr>
            <w:tcW w:w="8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65.56</w:t>
            </w: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17"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5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951"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86"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52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384"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6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495" w:type="dxa"/>
            <w:tcBorders>
              <w:top w:val="nil"/>
              <w:left w:val="nil"/>
              <w:bottom w:val="single" w:color="000000" w:sz="8" w:space="0"/>
              <w:right w:val="single" w:color="000000" w:sz="8"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bl>
    <w:p>
      <w:pPr>
        <w:pStyle w:val="2"/>
        <w:sectPr>
          <w:pgSz w:w="16838" w:h="11906" w:orient="landscape"/>
          <w:pgMar w:top="1797" w:right="1440" w:bottom="1797" w:left="1440" w:header="851" w:footer="992" w:gutter="0"/>
          <w:pgNumType w:fmt="numberInDash"/>
          <w:cols w:space="720" w:num="1"/>
          <w:docGrid w:type="linesAndChar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部门公开表3</w:t>
      </w:r>
    </w:p>
    <w:p>
      <w:pPr>
        <w:spacing w:beforeLines="50" w:afterLines="50" w:line="560" w:lineRule="exact"/>
        <w:jc w:val="center"/>
        <w:rPr>
          <w:rFonts w:ascii="TimesNewRoman" w:hAnsi="TimesNewRoman" w:cs="TimesNewRoman"/>
          <w:kern w:val="0"/>
          <w:sz w:val="20"/>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val="en-US" w:eastAsia="zh-CN"/>
        </w:rPr>
        <w:t>总工会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年支出总表</w:t>
      </w:r>
    </w:p>
    <w:p>
      <w:pPr>
        <w:spacing w:line="560" w:lineRule="exact"/>
        <w:jc w:val="right"/>
        <w:rPr>
          <w:rFonts w:ascii="TimesNewRoman" w:hAnsi="TimesNewRoman" w:cs="TimesNewRoman"/>
          <w:kern w:val="0"/>
          <w:sz w:val="20"/>
        </w:rPr>
      </w:pPr>
      <w:r>
        <w:rPr>
          <w:rFonts w:ascii="TimesNewRoman" w:hAnsi="TimesNewRoman" w:cs="TimesNewRoman"/>
          <w:kern w:val="0"/>
          <w:sz w:val="20"/>
        </w:rPr>
        <w:t>单位：万元</w:t>
      </w:r>
    </w:p>
    <w:tbl>
      <w:tblPr>
        <w:tblStyle w:val="7"/>
        <w:tblW w:w="8931" w:type="dxa"/>
        <w:tblInd w:w="0" w:type="dxa"/>
        <w:tblLayout w:type="fixed"/>
        <w:tblCellMar>
          <w:top w:w="0" w:type="dxa"/>
          <w:left w:w="108" w:type="dxa"/>
          <w:bottom w:w="0" w:type="dxa"/>
          <w:right w:w="108" w:type="dxa"/>
        </w:tblCellMar>
      </w:tblPr>
      <w:tblGrid>
        <w:gridCol w:w="1017"/>
        <w:gridCol w:w="2835"/>
        <w:gridCol w:w="872"/>
        <w:gridCol w:w="760"/>
        <w:gridCol w:w="828"/>
        <w:gridCol w:w="930"/>
        <w:gridCol w:w="772"/>
        <w:gridCol w:w="917"/>
      </w:tblGrid>
      <w:tr>
        <w:tblPrEx>
          <w:tblCellMar>
            <w:top w:w="0" w:type="dxa"/>
            <w:left w:w="108" w:type="dxa"/>
            <w:bottom w:w="0" w:type="dxa"/>
            <w:right w:w="108" w:type="dxa"/>
          </w:tblCellMar>
        </w:tblPrEx>
        <w:trPr>
          <w:trHeight w:val="690" w:hRule="atLeast"/>
        </w:trPr>
        <w:tc>
          <w:tcPr>
            <w:tcW w:w="101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编码</w:t>
            </w:r>
          </w:p>
        </w:tc>
        <w:tc>
          <w:tcPr>
            <w:tcW w:w="2835"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872"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76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828"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c>
          <w:tcPr>
            <w:tcW w:w="93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事业单位经营支出</w:t>
            </w:r>
          </w:p>
        </w:tc>
        <w:tc>
          <w:tcPr>
            <w:tcW w:w="772"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上缴上级支出</w:t>
            </w:r>
          </w:p>
        </w:tc>
        <w:tc>
          <w:tcPr>
            <w:tcW w:w="917"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对附属单位补助支出</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201</w:t>
            </w:r>
          </w:p>
        </w:tc>
        <w:tc>
          <w:tcPr>
            <w:tcW w:w="2835"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一般公共服务支出</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210.93</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65.56</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145.37</w:t>
            </w: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ascii="TimesNewRoman" w:hAnsi="TimesNewRoman" w:cs="TimesNewRoman"/>
                <w:kern w:val="0"/>
                <w:sz w:val="22"/>
              </w:rPr>
              <w:t>20</w:t>
            </w:r>
            <w:r>
              <w:rPr>
                <w:rFonts w:hint="eastAsia" w:ascii="TimesNewRoman" w:hAnsi="TimesNewRoman" w:cs="TimesNewRoman"/>
                <w:kern w:val="0"/>
                <w:sz w:val="22"/>
                <w:lang w:val="en-US" w:eastAsia="zh-CN"/>
              </w:rPr>
              <w:t>129</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群众团体事务</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210.93</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65.56</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145.37</w:t>
            </w: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2012906</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eastAsia"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工会事务</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65.56</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65.56</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2012999</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其他群众团体事务支出</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145.37</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145.37</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w:t>
            </w:r>
          </w:p>
        </w:tc>
        <w:tc>
          <w:tcPr>
            <w:tcW w:w="2835" w:type="dxa"/>
            <w:tcBorders>
              <w:top w:val="nil"/>
              <w:left w:val="nil"/>
              <w:bottom w:val="single" w:color="auto" w:sz="4" w:space="0"/>
              <w:right w:val="single" w:color="auto" w:sz="4" w:space="0"/>
            </w:tcBorders>
            <w:noWrap/>
            <w:vAlign w:val="center"/>
          </w:tcPr>
          <w:p>
            <w:pPr>
              <w:widowControl/>
              <w:spacing w:line="560" w:lineRule="exact"/>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社会保障和就业支出</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43.49</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43.49</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20805</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行政事业单位养老支出</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43.49</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43.49</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9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2080506</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机关事务单位职业年金缴费支出</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4.83</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4.83</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2080501</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行政单位离退休</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28.99</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28.99</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2080505</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机关事业单位基本养老保险缴费支出</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9.67</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9.67</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210</w:t>
            </w:r>
          </w:p>
        </w:tc>
        <w:tc>
          <w:tcPr>
            <w:tcW w:w="2835"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卫生健康支出</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2.9</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2.9</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21011</w:t>
            </w:r>
          </w:p>
        </w:tc>
        <w:tc>
          <w:tcPr>
            <w:tcW w:w="2835"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 xml:space="preserve"> 行政事业单位医疗</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2.9</w:t>
            </w:r>
            <w:r>
              <w:rPr>
                <w:rFonts w:ascii="TimesNewRoman" w:hAnsi="TimesNewRoman" w:cs="TimesNewRoman"/>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2.9</w:t>
            </w:r>
            <w:r>
              <w:rPr>
                <w:rFonts w:ascii="TimesNewRoman" w:hAnsi="TimesNewRoman" w:cs="TimesNewRoman"/>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2101101</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行政单位医疗</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2.9</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2.9</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221</w:t>
            </w:r>
          </w:p>
        </w:tc>
        <w:tc>
          <w:tcPr>
            <w:tcW w:w="2835"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住房保障支出</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7.25</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7.25</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22102</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住房改革支出</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7.25</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7.25</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1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2210201</w:t>
            </w:r>
          </w:p>
        </w:tc>
        <w:tc>
          <w:tcPr>
            <w:tcW w:w="2835"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eastAsia"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住房公积金</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7.25</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7.25</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3852"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264.57</w:t>
            </w:r>
            <w:r>
              <w:rPr>
                <w:rFonts w:ascii="TimesNewRoman" w:hAnsi="TimesNewRoman" w:cs="TimesNewRoman"/>
                <w:b/>
                <w:bCs/>
                <w:kern w:val="0"/>
                <w:sz w:val="22"/>
              </w:rPr>
              <w:t>　</w:t>
            </w:r>
          </w:p>
        </w:tc>
        <w:tc>
          <w:tcPr>
            <w:tcW w:w="76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119.2</w:t>
            </w:r>
            <w:r>
              <w:rPr>
                <w:rFonts w:ascii="TimesNewRoman" w:hAnsi="TimesNewRoman" w:cs="TimesNewRoman"/>
                <w:b/>
                <w:bCs/>
                <w:kern w:val="0"/>
                <w:sz w:val="22"/>
              </w:rPr>
              <w:t>　</w:t>
            </w:r>
          </w:p>
        </w:tc>
        <w:tc>
          <w:tcPr>
            <w:tcW w:w="82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145.37</w:t>
            </w:r>
            <w:r>
              <w:rPr>
                <w:rFonts w:ascii="TimesNewRoman" w:hAnsi="TimesNewRoman" w:cs="TimesNewRoman"/>
                <w:b/>
                <w:bCs/>
                <w:kern w:val="0"/>
                <w:sz w:val="22"/>
              </w:rPr>
              <w:t>　</w:t>
            </w:r>
          </w:p>
        </w:tc>
        <w:tc>
          <w:tcPr>
            <w:tcW w:w="9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7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bl>
    <w:p>
      <w:pPr>
        <w:spacing w:line="560" w:lineRule="exact"/>
        <w:rPr>
          <w:rFonts w:ascii="TimesNewRoman" w:hAnsi="TimesNewRoman" w:cs="TimesNewRoman"/>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lang w:val="en-US" w:eastAsia="zh-CN"/>
        </w:rPr>
        <w:t xml:space="preserve">           </w:t>
      </w:r>
      <w:r>
        <w:rPr>
          <w:rFonts w:ascii="TimesNewRoman" w:hAnsi="TimesNewRoman" w:cs="TimesNewRoman"/>
          <w:kern w:val="0"/>
          <w:sz w:val="20"/>
        </w:rPr>
        <w:t>部门公开表4</w:t>
      </w:r>
    </w:p>
    <w:p>
      <w:pPr>
        <w:widowControl/>
        <w:spacing w:beforeLines="50"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val="en-US" w:eastAsia="zh-CN"/>
        </w:rPr>
        <w:t>总工会</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年财政拨款收支总表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7"/>
        <w:tblW w:w="8416" w:type="dxa"/>
        <w:tblInd w:w="0" w:type="dxa"/>
        <w:tblLayout w:type="fixed"/>
        <w:tblCellMar>
          <w:top w:w="0" w:type="dxa"/>
          <w:left w:w="108" w:type="dxa"/>
          <w:bottom w:w="0" w:type="dxa"/>
          <w:right w:w="108" w:type="dxa"/>
        </w:tblCellMar>
      </w:tblPr>
      <w:tblGrid>
        <w:gridCol w:w="2718"/>
        <w:gridCol w:w="1059"/>
        <w:gridCol w:w="3468"/>
        <w:gridCol w:w="1171"/>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w:t>
            </w:r>
          </w:p>
        </w:tc>
        <w:tc>
          <w:tcPr>
            <w:tcW w:w="4639"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w:t>
            </w:r>
          </w:p>
        </w:tc>
        <w:tc>
          <w:tcPr>
            <w:tcW w:w="1059"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预算数</w:t>
            </w:r>
          </w:p>
        </w:tc>
        <w:tc>
          <w:tcPr>
            <w:tcW w:w="3468"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w:t>
            </w:r>
          </w:p>
        </w:tc>
        <w:tc>
          <w:tcPr>
            <w:tcW w:w="1171"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一、本年收入</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264.57</w:t>
            </w: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一、本年支出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264.6</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264.57</w:t>
            </w: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（一）一般公共服务支出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21.93</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（二）外交支出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（三）国防支出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（四）公共安全支出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二、上年结转</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（五）教育支出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（六）科学技术支出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（七）文化旅游体育与传媒支出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（八）社会保障和就业支出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43.49</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（九）卫生健康支出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2.9</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（十）节能环保支出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（十一）城乡社区支出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（十二）农林水支出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（十三）交通运输支出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（十四）资源勘探工业信息等支出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（十五）商业服务业等支出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（十六）金融支出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（十七）援助其他地区支出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bCs/>
                <w:kern w:val="0"/>
                <w:sz w:val="20"/>
              </w:rPr>
              <w:t>收      入</w:t>
            </w:r>
          </w:p>
        </w:tc>
        <w:tc>
          <w:tcPr>
            <w:tcW w:w="46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bCs/>
                <w:kern w:val="0"/>
                <w:sz w:val="20"/>
              </w:rPr>
              <w:t>支      出</w:t>
            </w:r>
          </w:p>
        </w:tc>
      </w:tr>
      <w:tr>
        <w:tblPrEx>
          <w:tblCellMar>
            <w:top w:w="0" w:type="dxa"/>
            <w:left w:w="108" w:type="dxa"/>
            <w:bottom w:w="0" w:type="dxa"/>
            <w:right w:w="108" w:type="dxa"/>
          </w:tblCellMar>
        </w:tblPrEx>
        <w:trPr>
          <w:trHeight w:val="319" w:hRule="atLeast"/>
        </w:trPr>
        <w:tc>
          <w:tcPr>
            <w:tcW w:w="2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（十八）自然资源海洋气象等支出</w:t>
            </w:r>
          </w:p>
        </w:tc>
        <w:tc>
          <w:tcPr>
            <w:tcW w:w="1171"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（十九）住房保障支出</w:t>
            </w:r>
          </w:p>
        </w:tc>
        <w:tc>
          <w:tcPr>
            <w:tcW w:w="1171"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7.25</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（二十）粮油物资储备支出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（二十一）灾害防治及应急管理支出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（二十二）预备费</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（二十三）其他支出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（二十四）转移性支出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（二十五）债务还本支出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（二十六）债务付息支出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（二十七）债务发行费用支出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二、年终结转结余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    总    计</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0"/>
              </w:rPr>
            </w:pPr>
            <w:r>
              <w:rPr>
                <w:rFonts w:hint="eastAsia" w:ascii="TimesNewRoman" w:hAnsi="TimesNewRoman" w:cs="TimesNewRoman"/>
                <w:b/>
                <w:bCs/>
                <w:kern w:val="0"/>
                <w:sz w:val="20"/>
                <w:lang w:val="en-US" w:eastAsia="zh-CN"/>
              </w:rPr>
              <w:t>264.57</w:t>
            </w:r>
            <w:r>
              <w:rPr>
                <w:rFonts w:ascii="TimesNewRoman" w:hAnsi="TimesNewRoman" w:cs="TimesNewRoman"/>
                <w:b/>
                <w:bCs/>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    总    计</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264.57</w:t>
            </w:r>
            <w:r>
              <w:rPr>
                <w:rFonts w:ascii="TimesNewRoman" w:hAnsi="TimesNewRoman" w:cs="TimesNewRoman"/>
                <w:kern w:val="0"/>
                <w:sz w:val="20"/>
              </w:rPr>
              <w:t>　</w:t>
            </w:r>
          </w:p>
        </w:tc>
      </w:tr>
    </w:tbl>
    <w:p>
      <w:pPr>
        <w:spacing w:line="560" w:lineRule="exact"/>
        <w:ind w:firstLine="6300" w:firstLineChars="3150"/>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部门公开表5</w:t>
      </w:r>
    </w:p>
    <w:p>
      <w:pPr>
        <w:widowControl/>
        <w:spacing w:beforeLines="50"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val="en-US" w:eastAsia="zh-CN"/>
        </w:rPr>
        <w:t>总工会</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年一般公共预算支出表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7"/>
        <w:tblW w:w="8925" w:type="dxa"/>
        <w:tblInd w:w="0" w:type="dxa"/>
        <w:tblLayout w:type="fixed"/>
        <w:tblCellMar>
          <w:top w:w="0" w:type="dxa"/>
          <w:left w:w="108" w:type="dxa"/>
          <w:bottom w:w="0" w:type="dxa"/>
          <w:right w:w="108" w:type="dxa"/>
        </w:tblCellMar>
      </w:tblPr>
      <w:tblGrid>
        <w:gridCol w:w="1034"/>
        <w:gridCol w:w="2890"/>
        <w:gridCol w:w="840"/>
        <w:gridCol w:w="830"/>
        <w:gridCol w:w="1130"/>
        <w:gridCol w:w="1100"/>
        <w:gridCol w:w="1101"/>
      </w:tblGrid>
      <w:tr>
        <w:tblPrEx>
          <w:tblCellMar>
            <w:top w:w="0" w:type="dxa"/>
            <w:left w:w="108" w:type="dxa"/>
            <w:bottom w:w="0" w:type="dxa"/>
            <w:right w:w="108" w:type="dxa"/>
          </w:tblCellMar>
        </w:tblPrEx>
        <w:trPr>
          <w:trHeight w:val="360" w:hRule="atLeast"/>
        </w:trPr>
        <w:tc>
          <w:tcPr>
            <w:tcW w:w="1034"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编码</w:t>
            </w:r>
          </w:p>
        </w:tc>
        <w:tc>
          <w:tcPr>
            <w:tcW w:w="2890"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84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3060"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1101"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r>
      <w:tr>
        <w:tblPrEx>
          <w:tblCellMar>
            <w:top w:w="0" w:type="dxa"/>
            <w:left w:w="108" w:type="dxa"/>
            <w:bottom w:w="0" w:type="dxa"/>
            <w:right w:w="108" w:type="dxa"/>
          </w:tblCellMar>
        </w:tblPrEx>
        <w:trPr>
          <w:trHeight w:val="360" w:hRule="atLeast"/>
        </w:trPr>
        <w:tc>
          <w:tcPr>
            <w:tcW w:w="1034"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2890"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84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小计</w:t>
            </w:r>
          </w:p>
        </w:tc>
        <w:tc>
          <w:tcPr>
            <w:tcW w:w="11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人员经费</w:t>
            </w:r>
          </w:p>
        </w:tc>
        <w:tc>
          <w:tcPr>
            <w:tcW w:w="110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公用经费</w:t>
            </w:r>
          </w:p>
        </w:tc>
        <w:tc>
          <w:tcPr>
            <w:tcW w:w="1101"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r>
      <w:tr>
        <w:tblPrEx>
          <w:tblCellMar>
            <w:top w:w="0" w:type="dxa"/>
            <w:left w:w="108" w:type="dxa"/>
            <w:bottom w:w="0" w:type="dxa"/>
            <w:right w:w="108" w:type="dxa"/>
          </w:tblCellMar>
        </w:tblPrEx>
        <w:trPr>
          <w:trHeight w:val="360" w:hRule="atLeast"/>
        </w:trPr>
        <w:tc>
          <w:tcPr>
            <w:tcW w:w="103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201</w:t>
            </w:r>
          </w:p>
        </w:tc>
        <w:tc>
          <w:tcPr>
            <w:tcW w:w="2890"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一般公共服务支出</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210.93</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65.56</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60.93</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4.63</w:t>
            </w:r>
            <w:r>
              <w:rPr>
                <w:rFonts w:ascii="TimesNewRoman" w:hAnsi="TimesNewRoman" w:cs="TimesNewRoman"/>
                <w:kern w:val="0"/>
                <w:sz w:val="22"/>
              </w:rPr>
              <w:t>　</w:t>
            </w:r>
          </w:p>
        </w:tc>
        <w:tc>
          <w:tcPr>
            <w:tcW w:w="1101"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145.37</w:t>
            </w: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ascii="TimesNewRoman" w:hAnsi="TimesNewRoman" w:cs="TimesNewRoman"/>
                <w:kern w:val="0"/>
                <w:sz w:val="22"/>
              </w:rPr>
              <w:t>201</w:t>
            </w:r>
            <w:r>
              <w:rPr>
                <w:rFonts w:hint="eastAsia" w:ascii="TimesNewRoman" w:hAnsi="TimesNewRoman" w:cs="TimesNewRoman"/>
                <w:kern w:val="0"/>
                <w:sz w:val="22"/>
                <w:lang w:val="en-US" w:eastAsia="zh-CN"/>
              </w:rPr>
              <w:t>29</w:t>
            </w:r>
          </w:p>
        </w:tc>
        <w:tc>
          <w:tcPr>
            <w:tcW w:w="2890" w:type="dxa"/>
            <w:tcBorders>
              <w:top w:val="nil"/>
              <w:left w:val="nil"/>
              <w:bottom w:val="single" w:color="auto" w:sz="4" w:space="0"/>
              <w:right w:val="single" w:color="auto" w:sz="4" w:space="0"/>
            </w:tcBorders>
            <w:noWrap/>
            <w:vAlign w:val="center"/>
          </w:tcPr>
          <w:p>
            <w:pPr>
              <w:widowControl/>
              <w:spacing w:line="560" w:lineRule="exact"/>
              <w:jc w:val="left"/>
              <w:rPr>
                <w:rFonts w:hint="eastAsia" w:ascii="TimesNewRoman" w:hAnsi="TimesNewRoman" w:eastAsia="仿宋_GB2312" w:cs="TimesNewRoman"/>
                <w:kern w:val="0"/>
                <w:sz w:val="22"/>
                <w:lang w:val="en-US" w:eastAsia="zh-CN"/>
              </w:rPr>
            </w:pPr>
            <w:r>
              <w:rPr>
                <w:rFonts w:ascii="TimesNewRoman" w:hAnsi="TimesNewRoman" w:cs="TimesNewRoman"/>
                <w:kern w:val="0"/>
                <w:sz w:val="22"/>
              </w:rPr>
              <w:t xml:space="preserve">    </w:t>
            </w:r>
            <w:r>
              <w:rPr>
                <w:rFonts w:hint="eastAsia" w:ascii="TimesNewRoman" w:hAnsi="TimesNewRoman" w:cs="TimesNewRoman"/>
                <w:kern w:val="0"/>
                <w:sz w:val="22"/>
                <w:lang w:val="en-US" w:eastAsia="zh-CN"/>
              </w:rPr>
              <w:t>群众团体事务</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210.93</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65.56</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60.93</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4.63</w:t>
            </w: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145.37</w:t>
            </w: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ascii="TimesNewRoman" w:hAnsi="TimesNewRoman" w:cs="TimesNewRoman"/>
                <w:kern w:val="0"/>
                <w:sz w:val="22"/>
              </w:rPr>
              <w:t>201</w:t>
            </w:r>
            <w:r>
              <w:rPr>
                <w:rFonts w:hint="eastAsia" w:ascii="TimesNewRoman" w:hAnsi="TimesNewRoman" w:cs="TimesNewRoman"/>
                <w:kern w:val="0"/>
                <w:sz w:val="22"/>
                <w:lang w:val="en-US" w:eastAsia="zh-CN"/>
              </w:rPr>
              <w:t>2999</w:t>
            </w:r>
          </w:p>
        </w:tc>
        <w:tc>
          <w:tcPr>
            <w:tcW w:w="2890" w:type="dxa"/>
            <w:tcBorders>
              <w:top w:val="nil"/>
              <w:left w:val="nil"/>
              <w:bottom w:val="single" w:color="auto" w:sz="4" w:space="0"/>
              <w:right w:val="single" w:color="auto" w:sz="4" w:space="0"/>
            </w:tcBorders>
            <w:noWrap/>
            <w:vAlign w:val="center"/>
          </w:tcPr>
          <w:p>
            <w:pPr>
              <w:widowControl/>
              <w:spacing w:line="560" w:lineRule="exact"/>
              <w:jc w:val="left"/>
              <w:rPr>
                <w:rFonts w:hint="eastAsia" w:ascii="TimesNewRoman" w:hAnsi="TimesNewRoman" w:eastAsia="仿宋_GB2312" w:cs="TimesNewRoman"/>
                <w:kern w:val="0"/>
                <w:sz w:val="22"/>
                <w:lang w:eastAsia="zh-CN"/>
              </w:rPr>
            </w:pPr>
            <w:r>
              <w:rPr>
                <w:rFonts w:ascii="TimesNewRoman" w:hAnsi="TimesNewRoman" w:cs="TimesNewRoman"/>
                <w:kern w:val="0"/>
                <w:sz w:val="22"/>
              </w:rPr>
              <w:t xml:space="preserve">    </w:t>
            </w:r>
            <w:r>
              <w:rPr>
                <w:rFonts w:hint="eastAsia" w:ascii="TimesNewRoman" w:hAnsi="TimesNewRoman" w:cs="TimesNewRoman"/>
                <w:kern w:val="0"/>
                <w:sz w:val="22"/>
                <w:lang w:val="en-US" w:eastAsia="zh-CN"/>
              </w:rPr>
              <w:t>其他群众团体事务</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145.37</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145.37</w:t>
            </w: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ascii="TimesNewRoman" w:hAnsi="TimesNewRoman" w:cs="TimesNewRoman"/>
                <w:kern w:val="0"/>
                <w:sz w:val="22"/>
              </w:rPr>
              <w:t>201</w:t>
            </w:r>
            <w:r>
              <w:rPr>
                <w:rFonts w:hint="eastAsia" w:ascii="TimesNewRoman" w:hAnsi="TimesNewRoman" w:cs="TimesNewRoman"/>
                <w:kern w:val="0"/>
                <w:sz w:val="22"/>
                <w:lang w:val="en-US" w:eastAsia="zh-CN"/>
              </w:rPr>
              <w:t>2906</w:t>
            </w:r>
          </w:p>
        </w:tc>
        <w:tc>
          <w:tcPr>
            <w:tcW w:w="2890" w:type="dxa"/>
            <w:tcBorders>
              <w:top w:val="nil"/>
              <w:left w:val="nil"/>
              <w:bottom w:val="single" w:color="auto" w:sz="4" w:space="0"/>
              <w:right w:val="single" w:color="auto" w:sz="4" w:space="0"/>
            </w:tcBorders>
            <w:noWrap/>
            <w:vAlign w:val="center"/>
          </w:tcPr>
          <w:p>
            <w:pPr>
              <w:widowControl/>
              <w:spacing w:line="560" w:lineRule="exact"/>
              <w:jc w:val="left"/>
              <w:rPr>
                <w:rFonts w:hint="eastAsia" w:ascii="TimesNewRoman" w:hAnsi="TimesNewRoman" w:eastAsia="仿宋_GB2312" w:cs="TimesNewRoman"/>
                <w:kern w:val="0"/>
                <w:sz w:val="22"/>
                <w:lang w:eastAsia="zh-CN"/>
              </w:rPr>
            </w:pPr>
            <w:r>
              <w:rPr>
                <w:rFonts w:hint="eastAsia" w:ascii="TimesNewRoman" w:hAnsi="TimesNewRoman" w:cs="TimesNewRoman"/>
                <w:kern w:val="0"/>
                <w:sz w:val="22"/>
                <w:lang w:val="en-US" w:eastAsia="zh-CN"/>
              </w:rPr>
              <w:t>工会事务</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65.56</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65.56</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60.93</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4.63</w:t>
            </w: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w:t>
            </w:r>
          </w:p>
        </w:tc>
        <w:tc>
          <w:tcPr>
            <w:tcW w:w="2890" w:type="dxa"/>
            <w:tcBorders>
              <w:top w:val="nil"/>
              <w:left w:val="nil"/>
              <w:bottom w:val="single" w:color="auto" w:sz="4" w:space="0"/>
              <w:right w:val="single" w:color="auto" w:sz="4" w:space="0"/>
            </w:tcBorders>
            <w:noWrap/>
            <w:vAlign w:val="center"/>
          </w:tcPr>
          <w:p>
            <w:pPr>
              <w:widowControl/>
              <w:spacing w:line="560" w:lineRule="exact"/>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社会保障和就业支出</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43.49</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43.49</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43.49</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20805</w:t>
            </w:r>
          </w:p>
        </w:tc>
        <w:tc>
          <w:tcPr>
            <w:tcW w:w="289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行政事务单位养老支出</w:t>
            </w:r>
            <w:r>
              <w:rPr>
                <w:rFonts w:ascii="TimesNewRoman" w:hAnsi="TimesNewRoman" w:cs="TimesNewRoman"/>
                <w:kern w:val="0"/>
                <w:sz w:val="22"/>
              </w:rPr>
              <w:t>　</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43.49</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43.49</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43.49</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1117" w:hRule="exac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2080506</w:t>
            </w:r>
          </w:p>
        </w:tc>
        <w:tc>
          <w:tcPr>
            <w:tcW w:w="2890" w:type="dxa"/>
            <w:tcBorders>
              <w:top w:val="nil"/>
              <w:left w:val="nil"/>
              <w:bottom w:val="single" w:color="auto" w:sz="4" w:space="0"/>
              <w:right w:val="single" w:color="auto" w:sz="4" w:space="0"/>
            </w:tcBorders>
            <w:noWrap/>
            <w:vAlign w:val="top"/>
          </w:tcPr>
          <w:p>
            <w:pPr>
              <w:widowControl/>
              <w:spacing w:line="560" w:lineRule="exact"/>
              <w:jc w:val="left"/>
              <w:rPr>
                <w:rFonts w:ascii="TimesNewRoman" w:hAnsi="TimesNewRoman" w:cs="TimesNewRoman"/>
                <w:kern w:val="0"/>
                <w:sz w:val="22"/>
              </w:rPr>
            </w:pPr>
            <w:r>
              <w:rPr>
                <w:rFonts w:hint="eastAsia" w:ascii="TimesNewRoman" w:hAnsi="TimesNewRoman" w:cs="TimesNewRoman"/>
                <w:kern w:val="0"/>
                <w:sz w:val="18"/>
                <w:szCs w:val="15"/>
                <w:lang w:val="en-US" w:eastAsia="zh-CN"/>
              </w:rPr>
              <w:t xml:space="preserve">   </w:t>
            </w:r>
            <w:r>
              <w:rPr>
                <w:rFonts w:hint="eastAsia" w:ascii="TimesNewRoman" w:hAnsi="TimesNewRoman" w:cs="TimesNewRoman"/>
                <w:kern w:val="0"/>
                <w:sz w:val="22"/>
                <w:lang w:val="en-US" w:eastAsia="zh-CN"/>
              </w:rPr>
              <w:t>机关事业单位职业年金缴费支出　</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4.83</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4.83</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4.83</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2080505</w:t>
            </w:r>
          </w:p>
        </w:tc>
        <w:tc>
          <w:tcPr>
            <w:tcW w:w="2890"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ascii="TimesNewRoman" w:hAnsi="TimesNewRoman" w:cs="TimesNewRoman"/>
                <w:kern w:val="0"/>
                <w:sz w:val="22"/>
              </w:rPr>
            </w:pPr>
            <w:r>
              <w:rPr>
                <w:rFonts w:hint="eastAsia" w:ascii="TimesNewRoman" w:hAnsi="TimesNewRoman" w:cs="TimesNewRoman"/>
                <w:kern w:val="0"/>
                <w:sz w:val="22"/>
                <w:lang w:val="en-US" w:eastAsia="zh-CN"/>
              </w:rPr>
              <w:t>机关事业单位基本养老保险缴费支出</w:t>
            </w:r>
            <w:r>
              <w:rPr>
                <w:rFonts w:ascii="TimesNewRoman" w:hAnsi="TimesNewRoman" w:cs="TimesNewRoman"/>
                <w:kern w:val="0"/>
                <w:sz w:val="22"/>
              </w:rPr>
              <w:t>　</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9.67</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9.67</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9.67</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2080501</w:t>
            </w:r>
          </w:p>
        </w:tc>
        <w:tc>
          <w:tcPr>
            <w:tcW w:w="28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hint="eastAsia" w:ascii="TimesNewRoman" w:hAnsi="TimesNewRoman" w:cs="TimesNewRoman"/>
                <w:kern w:val="0"/>
                <w:sz w:val="22"/>
                <w:lang w:val="en-US" w:eastAsia="zh-CN"/>
              </w:rPr>
              <w:t>行政单位离退休</w:t>
            </w:r>
            <w:r>
              <w:rPr>
                <w:rFonts w:ascii="TimesNewRoman" w:hAnsi="TimesNewRoman" w:cs="TimesNewRoman"/>
                <w:kern w:val="0"/>
                <w:sz w:val="22"/>
              </w:rPr>
              <w:t>　</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28.99</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28.99</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28.99</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210</w:t>
            </w:r>
          </w:p>
        </w:tc>
        <w:tc>
          <w:tcPr>
            <w:tcW w:w="28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hint="eastAsia" w:ascii="TimesNewRoman" w:hAnsi="TimesNewRoman" w:cs="TimesNewRoman"/>
                <w:kern w:val="0"/>
                <w:sz w:val="22"/>
                <w:lang w:val="en-US" w:eastAsia="zh-CN"/>
              </w:rPr>
              <w:t>卫生健康支出</w:t>
            </w:r>
            <w:r>
              <w:rPr>
                <w:rFonts w:ascii="TimesNewRoman" w:hAnsi="TimesNewRoman" w:cs="TimesNewRoman"/>
                <w:kern w:val="0"/>
                <w:sz w:val="22"/>
              </w:rPr>
              <w:t>　</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2.9</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2.9</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2.9</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21011</w:t>
            </w:r>
          </w:p>
        </w:tc>
        <w:tc>
          <w:tcPr>
            <w:tcW w:w="2890"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ascii="TimesNewRoman" w:hAnsi="TimesNewRoman" w:cs="TimesNewRoman"/>
                <w:kern w:val="0"/>
                <w:sz w:val="22"/>
              </w:rPr>
            </w:pPr>
            <w:r>
              <w:rPr>
                <w:rFonts w:hint="eastAsia" w:ascii="TimesNewRoman" w:hAnsi="TimesNewRoman" w:cs="TimesNewRoman"/>
                <w:kern w:val="0"/>
                <w:sz w:val="22"/>
                <w:lang w:val="en-US" w:eastAsia="zh-CN"/>
              </w:rPr>
              <w:t>行政事业单位医疗</w:t>
            </w:r>
            <w:r>
              <w:rPr>
                <w:rFonts w:ascii="TimesNewRoman" w:hAnsi="TimesNewRoman" w:cs="TimesNewRoman"/>
                <w:kern w:val="0"/>
                <w:sz w:val="22"/>
              </w:rPr>
              <w:t>　</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2.9</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2.9</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2.9</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2101101</w:t>
            </w:r>
          </w:p>
        </w:tc>
        <w:tc>
          <w:tcPr>
            <w:tcW w:w="2890"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ascii="TimesNewRoman" w:hAnsi="TimesNewRoman" w:cs="TimesNewRoman"/>
                <w:kern w:val="0"/>
                <w:sz w:val="22"/>
              </w:rPr>
            </w:pPr>
            <w:r>
              <w:rPr>
                <w:rFonts w:hint="eastAsia" w:ascii="TimesNewRoman" w:hAnsi="TimesNewRoman" w:cs="TimesNewRoman"/>
                <w:kern w:val="0"/>
                <w:sz w:val="22"/>
                <w:lang w:val="en-US" w:eastAsia="zh-CN"/>
              </w:rPr>
              <w:t>行政单位医疗</w:t>
            </w:r>
            <w:r>
              <w:rPr>
                <w:rFonts w:ascii="TimesNewRoman" w:hAnsi="TimesNewRoman" w:cs="TimesNewRoman"/>
                <w:kern w:val="0"/>
                <w:sz w:val="22"/>
              </w:rPr>
              <w:t xml:space="preserve">  　</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2.9</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2.9</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2.9</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221</w:t>
            </w:r>
          </w:p>
        </w:tc>
        <w:tc>
          <w:tcPr>
            <w:tcW w:w="289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cs="TimesNewRoman"/>
                <w:kern w:val="0"/>
                <w:sz w:val="22"/>
                <w:lang w:val="en-US"/>
              </w:rPr>
            </w:pPr>
            <w:r>
              <w:rPr>
                <w:rFonts w:hint="eastAsia" w:ascii="TimesNewRoman" w:hAnsi="TimesNewRoman" w:cs="TimesNewRoman"/>
                <w:kern w:val="0"/>
                <w:sz w:val="22"/>
                <w:lang w:val="en-US" w:eastAsia="zh-CN"/>
              </w:rPr>
              <w:t>住房保障支出</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7.25</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7.25</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7.25</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22102</w:t>
            </w:r>
          </w:p>
        </w:tc>
        <w:tc>
          <w:tcPr>
            <w:tcW w:w="2890"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ascii="TimesNewRoman" w:hAnsi="TimesNewRoman" w:cs="TimesNewRoman"/>
                <w:kern w:val="0"/>
                <w:sz w:val="22"/>
              </w:rPr>
            </w:pPr>
            <w:r>
              <w:rPr>
                <w:rFonts w:hint="eastAsia" w:ascii="TimesNewRoman" w:hAnsi="TimesNewRoman" w:cs="TimesNewRoman"/>
                <w:kern w:val="0"/>
                <w:sz w:val="22"/>
                <w:lang w:val="en-US" w:eastAsia="zh-CN"/>
              </w:rPr>
              <w:t>住房改革支出</w:t>
            </w:r>
            <w:r>
              <w:rPr>
                <w:rFonts w:ascii="TimesNewRoman" w:hAnsi="TimesNewRoman" w:cs="TimesNewRoman"/>
                <w:kern w:val="0"/>
                <w:sz w:val="22"/>
              </w:rPr>
              <w:t xml:space="preserve">   　</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7.25</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7.25</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7.25</w:t>
            </w:r>
            <w:r>
              <w:rPr>
                <w:rFonts w:ascii="TimesNewRoman" w:hAnsi="TimesNewRoman" w:cs="TimesNewRoman"/>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2210201</w:t>
            </w:r>
          </w:p>
        </w:tc>
        <w:tc>
          <w:tcPr>
            <w:tcW w:w="2890" w:type="dxa"/>
            <w:tcBorders>
              <w:top w:val="nil"/>
              <w:left w:val="nil"/>
              <w:bottom w:val="single" w:color="auto" w:sz="4" w:space="0"/>
              <w:right w:val="single" w:color="auto" w:sz="4" w:space="0"/>
            </w:tcBorders>
            <w:noWrap/>
            <w:vAlign w:val="center"/>
          </w:tcPr>
          <w:p>
            <w:pPr>
              <w:widowControl/>
              <w:spacing w:line="560" w:lineRule="exact"/>
              <w:ind w:firstLine="220" w:firstLineChars="100"/>
              <w:jc w:val="left"/>
              <w:rPr>
                <w:rFonts w:hint="default" w:ascii="TimesNewRoman" w:hAnsi="TimesNewRoman" w:cs="TimesNewRoman"/>
                <w:kern w:val="0"/>
                <w:sz w:val="22"/>
                <w:lang w:val="en-US" w:eastAsia="zh-CN"/>
              </w:rPr>
            </w:pPr>
            <w:r>
              <w:rPr>
                <w:rFonts w:hint="eastAsia" w:ascii="TimesNewRoman" w:hAnsi="TimesNewRoman" w:cs="TimesNewRoman"/>
                <w:kern w:val="0"/>
                <w:sz w:val="22"/>
                <w:lang w:val="en-US" w:eastAsia="zh-CN"/>
              </w:rPr>
              <w:t>住房公积金</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hint="default" w:ascii="TimesNewRoman" w:hAnsi="TimesNewRoman" w:cs="TimesNewRoman"/>
                <w:kern w:val="0"/>
                <w:sz w:val="22"/>
                <w:lang w:val="en-US" w:eastAsia="zh-CN"/>
              </w:rPr>
            </w:pPr>
            <w:r>
              <w:rPr>
                <w:rFonts w:hint="eastAsia" w:ascii="TimesNewRoman" w:hAnsi="TimesNewRoman" w:cs="TimesNewRoman"/>
                <w:kern w:val="0"/>
                <w:sz w:val="22"/>
                <w:lang w:val="en-US" w:eastAsia="zh-CN"/>
              </w:rPr>
              <w:t>7.25</w:t>
            </w: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hint="default" w:ascii="TimesNewRoman" w:hAnsi="TimesNewRoman" w:cs="TimesNewRoman"/>
                <w:kern w:val="0"/>
                <w:sz w:val="22"/>
                <w:lang w:val="en-US" w:eastAsia="zh-CN"/>
              </w:rPr>
            </w:pPr>
            <w:r>
              <w:rPr>
                <w:rFonts w:hint="eastAsia" w:ascii="TimesNewRoman" w:hAnsi="TimesNewRoman" w:cs="TimesNewRoman"/>
                <w:kern w:val="0"/>
                <w:sz w:val="22"/>
                <w:lang w:val="en-US" w:eastAsia="zh-CN"/>
              </w:rPr>
              <w:t>7.25</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cs="TimesNewRoman"/>
                <w:kern w:val="0"/>
                <w:sz w:val="22"/>
                <w:lang w:val="en-US" w:eastAsia="zh-CN"/>
              </w:rPr>
            </w:pPr>
            <w:r>
              <w:rPr>
                <w:rFonts w:hint="eastAsia" w:ascii="TimesNewRoman" w:hAnsi="TimesNewRoman" w:cs="TimesNewRoman"/>
                <w:kern w:val="0"/>
                <w:sz w:val="22"/>
                <w:lang w:val="en-US" w:eastAsia="zh-CN"/>
              </w:rPr>
              <w:t>7.25</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3924"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8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lang w:val="en-US" w:eastAsia="zh-CN"/>
              </w:rPr>
              <w:t>264.57</w:t>
            </w:r>
          </w:p>
        </w:tc>
        <w:tc>
          <w:tcPr>
            <w:tcW w:w="8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119.2</w:t>
            </w:r>
            <w:r>
              <w:rPr>
                <w:rFonts w:ascii="TimesNewRoman" w:hAnsi="TimesNewRoman" w:cs="TimesNewRoman"/>
                <w:b/>
                <w:bCs/>
                <w:kern w:val="0"/>
                <w:sz w:val="22"/>
              </w:rPr>
              <w:t>　</w:t>
            </w:r>
          </w:p>
        </w:tc>
        <w:tc>
          <w:tcPr>
            <w:tcW w:w="11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114.57</w:t>
            </w:r>
            <w:r>
              <w:rPr>
                <w:rFonts w:ascii="TimesNewRoman" w:hAnsi="TimesNewRoman" w:cs="TimesNewRoman"/>
                <w:b/>
                <w:bCs/>
                <w:kern w:val="0"/>
                <w:sz w:val="22"/>
              </w:rPr>
              <w:t>　</w:t>
            </w:r>
          </w:p>
        </w:tc>
        <w:tc>
          <w:tcPr>
            <w:tcW w:w="11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4.63</w:t>
            </w:r>
            <w:r>
              <w:rPr>
                <w:rFonts w:ascii="TimesNewRoman" w:hAnsi="TimesNewRoman" w:cs="TimesNewRoman"/>
                <w:b/>
                <w:bCs/>
                <w:kern w:val="0"/>
                <w:sz w:val="22"/>
              </w:rPr>
              <w:t>　</w:t>
            </w:r>
          </w:p>
        </w:tc>
        <w:tc>
          <w:tcPr>
            <w:tcW w:w="110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145.37</w:t>
            </w:r>
            <w:r>
              <w:rPr>
                <w:rFonts w:ascii="TimesNewRoman" w:hAnsi="TimesNewRoman" w:cs="TimesNewRoman"/>
                <w:b/>
                <w:bCs/>
                <w:kern w:val="0"/>
                <w:sz w:val="22"/>
              </w:rPr>
              <w:t>　</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imesNewRoman" w:hAnsi="TimesNewRoman" w:cs="TimesNewRoman"/>
          <w:kern w:val="0"/>
          <w:sz w:val="20"/>
        </w:rPr>
      </w:pPr>
    </w:p>
    <w:p>
      <w:pPr>
        <w:keepNext w:val="0"/>
        <w:keepLines w:val="0"/>
        <w:pageBreakBefore w:val="0"/>
        <w:kinsoku/>
        <w:wordWrap/>
        <w:overflowPunct/>
        <w:topLinePunct w:val="0"/>
        <w:autoSpaceDE/>
        <w:autoSpaceDN/>
        <w:bidi w:val="0"/>
        <w:adjustRightInd/>
        <w:snapToGrid/>
        <w:spacing w:line="400" w:lineRule="exact"/>
        <w:ind w:left="1376" w:leftChars="430"/>
        <w:jc w:val="right"/>
        <w:textAlignment w:val="auto"/>
        <w:rPr>
          <w:rFonts w:ascii="TimesNewRoman" w:hAnsi="TimesNewRoman" w:cs="TimesNewRoman"/>
          <w:kern w:val="0"/>
          <w:sz w:val="20"/>
        </w:rPr>
      </w:pPr>
      <w:r>
        <w:rPr>
          <w:rFonts w:ascii="TimesNewRoman" w:hAnsi="TimesNewRoman" w:cs="TimesNewRoman"/>
          <w:kern w:val="0"/>
          <w:sz w:val="20"/>
        </w:rPr>
        <w:t>部门公开表6</w:t>
      </w:r>
    </w:p>
    <w:p>
      <w:pPr>
        <w:keepNext w:val="0"/>
        <w:keepLines w:val="0"/>
        <w:pageBreakBefore w:val="0"/>
        <w:widowControl/>
        <w:kinsoku/>
        <w:wordWrap/>
        <w:overflowPunct/>
        <w:topLinePunct w:val="0"/>
        <w:autoSpaceDE/>
        <w:autoSpaceDN/>
        <w:bidi w:val="0"/>
        <w:adjustRightInd/>
        <w:snapToGrid/>
        <w:spacing w:beforeLines="50" w:afterLines="50" w:line="400" w:lineRule="exact"/>
        <w:jc w:val="center"/>
        <w:textAlignment w:val="auto"/>
        <w:rPr>
          <w:rFonts w:ascii="TimesNewRoman" w:hAnsi="TimesNewRoman" w:eastAsia="华文中宋" w:cs="TimesNewRoman"/>
          <w:b/>
          <w:bCs/>
          <w:kern w:val="0"/>
          <w:sz w:val="28"/>
          <w:szCs w:val="28"/>
        </w:rPr>
      </w:pPr>
      <w:r>
        <w:rPr>
          <w:rFonts w:hint="eastAsia" w:ascii="TimesNewRoman" w:hAnsi="TimesNewRoman" w:eastAsia="华文中宋" w:cs="TimesNewRoman"/>
          <w:b/>
          <w:bCs/>
          <w:kern w:val="0"/>
          <w:sz w:val="28"/>
          <w:szCs w:val="28"/>
        </w:rPr>
        <w:t>宿松县</w:t>
      </w:r>
      <w:r>
        <w:rPr>
          <w:rFonts w:hint="eastAsia" w:ascii="TimesNewRoman" w:hAnsi="TimesNewRoman" w:eastAsia="华文中宋" w:cs="TimesNewRoman"/>
          <w:b/>
          <w:bCs/>
          <w:kern w:val="0"/>
          <w:sz w:val="28"/>
          <w:szCs w:val="28"/>
          <w:lang w:val="en-US" w:eastAsia="zh-CN"/>
        </w:rPr>
        <w:t>总工会</w:t>
      </w:r>
      <w:r>
        <w:rPr>
          <w:rFonts w:ascii="TimesNewRoman" w:hAnsi="TimesNewRoman" w:eastAsia="华文中宋" w:cs="TimesNewRoman"/>
          <w:b/>
          <w:bCs/>
          <w:kern w:val="0"/>
          <w:sz w:val="28"/>
          <w:szCs w:val="28"/>
        </w:rPr>
        <w:t>202</w:t>
      </w:r>
      <w:r>
        <w:rPr>
          <w:rFonts w:hint="eastAsia" w:ascii="TimesNewRoman" w:hAnsi="TimesNewRoman" w:eastAsia="华文中宋" w:cs="TimesNewRoman"/>
          <w:b/>
          <w:bCs/>
          <w:kern w:val="0"/>
          <w:sz w:val="28"/>
          <w:szCs w:val="28"/>
        </w:rPr>
        <w:t>3</w:t>
      </w:r>
      <w:r>
        <w:rPr>
          <w:rFonts w:ascii="TimesNewRoman" w:hAnsi="TimesNewRoman" w:eastAsia="华文中宋" w:cs="TimesNewRoman"/>
          <w:b/>
          <w:bCs/>
          <w:kern w:val="0"/>
          <w:sz w:val="28"/>
          <w:szCs w:val="28"/>
        </w:rPr>
        <w:t>年一般公共预算基本支出表</w:t>
      </w:r>
    </w:p>
    <w:p>
      <w:pPr>
        <w:keepNext w:val="0"/>
        <w:keepLines w:val="0"/>
        <w:pageBreakBefore w:val="0"/>
        <w:kinsoku/>
        <w:wordWrap/>
        <w:overflowPunct/>
        <w:topLinePunct w:val="0"/>
        <w:autoSpaceDE/>
        <w:autoSpaceDN/>
        <w:bidi w:val="0"/>
        <w:adjustRightInd/>
        <w:snapToGrid/>
        <w:spacing w:line="400" w:lineRule="exact"/>
        <w:ind w:left="7400" w:hanging="7400" w:hangingChars="3700"/>
        <w:textAlignment w:val="auto"/>
        <w:rPr>
          <w:rFonts w:ascii="TimesNewRoman" w:hAnsi="TimesNewRoman" w:cs="TimesNewRoman"/>
          <w:kern w:val="0"/>
          <w:sz w:val="20"/>
        </w:rPr>
      </w:pPr>
      <w:r>
        <w:rPr>
          <w:rFonts w:ascii="TimesNewRoman" w:hAnsi="TimesNewRoman" w:cs="TimesNewRoman"/>
          <w:kern w:val="0"/>
          <w:sz w:val="20"/>
        </w:rPr>
        <w:t xml:space="preserve">                                                                       单位：万元</w:t>
      </w:r>
    </w:p>
    <w:tbl>
      <w:tblPr>
        <w:tblStyle w:val="7"/>
        <w:tblW w:w="8465" w:type="dxa"/>
        <w:tblInd w:w="0" w:type="dxa"/>
        <w:tblLayout w:type="fixed"/>
        <w:tblCellMar>
          <w:top w:w="0" w:type="dxa"/>
          <w:left w:w="108" w:type="dxa"/>
          <w:bottom w:w="0" w:type="dxa"/>
          <w:right w:w="108" w:type="dxa"/>
        </w:tblCellMar>
      </w:tblPr>
      <w:tblGrid>
        <w:gridCol w:w="1437"/>
        <w:gridCol w:w="3405"/>
        <w:gridCol w:w="1020"/>
        <w:gridCol w:w="1395"/>
        <w:gridCol w:w="1208"/>
      </w:tblGrid>
      <w:tr>
        <w:trPr>
          <w:trHeight w:val="402" w:hRule="atLeast"/>
        </w:trPr>
        <w:tc>
          <w:tcPr>
            <w:tcW w:w="484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部门预算支出经济分类科目</w:t>
            </w:r>
          </w:p>
        </w:tc>
        <w:tc>
          <w:tcPr>
            <w:tcW w:w="3623"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本年一般公共预算基本支出</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科目编码</w:t>
            </w:r>
          </w:p>
        </w:tc>
        <w:tc>
          <w:tcPr>
            <w:tcW w:w="3405"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102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1395"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人员经费</w:t>
            </w:r>
          </w:p>
        </w:tc>
        <w:tc>
          <w:tcPr>
            <w:tcW w:w="1208"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公用经费</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301</w:t>
            </w:r>
          </w:p>
        </w:tc>
        <w:tc>
          <w:tcPr>
            <w:tcW w:w="3405"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工资福利支出</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85.57</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85.57</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30101</w:t>
            </w:r>
          </w:p>
        </w:tc>
        <w:tc>
          <w:tcPr>
            <w:tcW w:w="3405"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xml:space="preserve">    基本工资</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29.12</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29.12</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30102</w:t>
            </w:r>
          </w:p>
        </w:tc>
        <w:tc>
          <w:tcPr>
            <w:tcW w:w="3405"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xml:space="preserve">    津贴补贴</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28.88</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28.88</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30103</w:t>
            </w:r>
          </w:p>
        </w:tc>
        <w:tc>
          <w:tcPr>
            <w:tcW w:w="3405" w:type="dxa"/>
            <w:tcBorders>
              <w:top w:val="nil"/>
              <w:left w:val="nil"/>
              <w:bottom w:val="single" w:color="auto" w:sz="4" w:space="0"/>
              <w:right w:val="single" w:color="auto" w:sz="4" w:space="0"/>
            </w:tcBorders>
            <w:noWrap/>
            <w:vAlign w:val="center"/>
          </w:tcPr>
          <w:p>
            <w:pPr>
              <w:widowControl/>
              <w:spacing w:line="560" w:lineRule="exact"/>
              <w:ind w:firstLine="440" w:firstLineChars="200"/>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奖金</w:t>
            </w:r>
          </w:p>
        </w:tc>
        <w:tc>
          <w:tcPr>
            <w:tcW w:w="1020" w:type="dxa"/>
            <w:tcBorders>
              <w:top w:val="nil"/>
              <w:left w:val="nil"/>
              <w:bottom w:val="single" w:color="auto" w:sz="4" w:space="0"/>
              <w:right w:val="single" w:color="auto" w:sz="4" w:space="0"/>
            </w:tcBorders>
            <w:noWrap/>
            <w:vAlign w:val="center"/>
          </w:tcPr>
          <w:p>
            <w:pPr>
              <w:widowControl/>
              <w:spacing w:line="560" w:lineRule="exact"/>
              <w:jc w:val="both"/>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2.43</w:t>
            </w:r>
          </w:p>
        </w:tc>
        <w:tc>
          <w:tcPr>
            <w:tcW w:w="1395"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 xml:space="preserve">       2.43</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30108</w:t>
            </w:r>
          </w:p>
        </w:tc>
        <w:tc>
          <w:tcPr>
            <w:tcW w:w="3405"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hint="eastAsia" w:ascii="TimesNewRoman" w:hAnsi="TimesNewRoman" w:cs="TimesNewRoman"/>
                <w:kern w:val="0"/>
                <w:sz w:val="22"/>
                <w:lang w:val="en-US" w:eastAsia="zh-CN"/>
              </w:rPr>
              <w:t xml:space="preserve">   </w:t>
            </w:r>
            <w:r>
              <w:rPr>
                <w:rFonts w:hint="eastAsia" w:ascii="TimesNewRoman" w:hAnsi="TimesNewRoman" w:cs="TimesNewRoman"/>
                <w:kern w:val="0"/>
                <w:sz w:val="20"/>
                <w:szCs w:val="16"/>
                <w:lang w:val="en-US" w:eastAsia="zh-CN"/>
              </w:rPr>
              <w:t>机关事业单位基本养老保险缴费</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9.67</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9.67</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30109</w:t>
            </w:r>
          </w:p>
        </w:tc>
        <w:tc>
          <w:tcPr>
            <w:tcW w:w="3405" w:type="dxa"/>
            <w:tcBorders>
              <w:top w:val="nil"/>
              <w:left w:val="nil"/>
              <w:bottom w:val="single" w:color="auto" w:sz="4" w:space="0"/>
              <w:right w:val="single" w:color="auto" w:sz="4" w:space="0"/>
            </w:tcBorders>
            <w:noWrap/>
            <w:vAlign w:val="center"/>
          </w:tcPr>
          <w:p>
            <w:pPr>
              <w:widowControl/>
              <w:spacing w:line="560" w:lineRule="exact"/>
              <w:ind w:firstLine="440" w:firstLineChars="200"/>
              <w:jc w:val="both"/>
              <w:rPr>
                <w:rFonts w:ascii="TimesNewRoman" w:hAnsi="TimesNewRoman" w:cs="TimesNewRoman"/>
                <w:kern w:val="0"/>
                <w:sz w:val="22"/>
              </w:rPr>
            </w:pPr>
            <w:r>
              <w:rPr>
                <w:rFonts w:hint="eastAsia" w:ascii="TimesNewRoman" w:hAnsi="TimesNewRoman" w:cs="TimesNewRoman"/>
                <w:kern w:val="0"/>
                <w:sz w:val="22"/>
                <w:lang w:val="en-US" w:eastAsia="zh-CN"/>
              </w:rPr>
              <w:t>职业年金缴费</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4.83</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4.83</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30110</w:t>
            </w:r>
          </w:p>
        </w:tc>
        <w:tc>
          <w:tcPr>
            <w:tcW w:w="3405" w:type="dxa"/>
            <w:tcBorders>
              <w:top w:val="nil"/>
              <w:left w:val="nil"/>
              <w:bottom w:val="single" w:color="auto" w:sz="4" w:space="0"/>
              <w:right w:val="single" w:color="auto" w:sz="4" w:space="0"/>
            </w:tcBorders>
            <w:noWrap/>
            <w:vAlign w:val="center"/>
          </w:tcPr>
          <w:p>
            <w:pPr>
              <w:widowControl/>
              <w:spacing w:line="560" w:lineRule="exact"/>
              <w:ind w:firstLine="440" w:firstLineChars="200"/>
              <w:jc w:val="both"/>
              <w:rPr>
                <w:rFonts w:ascii="TimesNewRoman" w:hAnsi="TimesNewRoman" w:cs="TimesNewRoman"/>
                <w:kern w:val="0"/>
                <w:sz w:val="22"/>
              </w:rPr>
            </w:pPr>
            <w:r>
              <w:rPr>
                <w:rFonts w:hint="eastAsia" w:ascii="TimesNewRoman" w:hAnsi="TimesNewRoman" w:cs="TimesNewRoman"/>
                <w:kern w:val="0"/>
                <w:sz w:val="22"/>
                <w:lang w:val="en-US" w:eastAsia="zh-CN"/>
              </w:rPr>
              <w:t>职工基本医疗保险缴费</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hint="eastAsia" w:ascii="TimesNewRoman" w:hAnsi="TimesNewRoman" w:cs="TimesNewRoman"/>
                <w:kern w:val="0"/>
                <w:sz w:val="22"/>
                <w:lang w:val="en-US" w:eastAsia="zh-CN"/>
              </w:rPr>
              <w:t>2.9</w:t>
            </w:r>
            <w:r>
              <w:rPr>
                <w:rFonts w:ascii="TimesNewRoman" w:hAnsi="TimesNewRoman" w:cs="TimesNewRoman"/>
                <w:kern w:val="0"/>
                <w:sz w:val="22"/>
              </w:rPr>
              <w:t>　</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2.9</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30112</w:t>
            </w:r>
          </w:p>
        </w:tc>
        <w:tc>
          <w:tcPr>
            <w:tcW w:w="3405" w:type="dxa"/>
            <w:tcBorders>
              <w:top w:val="nil"/>
              <w:left w:val="nil"/>
              <w:bottom w:val="single" w:color="auto" w:sz="4" w:space="0"/>
              <w:right w:val="single" w:color="auto" w:sz="4" w:space="0"/>
            </w:tcBorders>
            <w:noWrap/>
            <w:vAlign w:val="center"/>
          </w:tcPr>
          <w:p>
            <w:pPr>
              <w:widowControl/>
              <w:spacing w:line="560" w:lineRule="exact"/>
              <w:ind w:firstLine="440" w:firstLineChars="200"/>
              <w:jc w:val="both"/>
              <w:rPr>
                <w:rFonts w:ascii="TimesNewRoman" w:hAnsi="TimesNewRoman" w:cs="TimesNewRoman"/>
                <w:kern w:val="0"/>
                <w:sz w:val="22"/>
              </w:rPr>
            </w:pPr>
            <w:r>
              <w:rPr>
                <w:rFonts w:hint="eastAsia" w:ascii="TimesNewRoman" w:hAnsi="TimesNewRoman" w:cs="TimesNewRoman"/>
                <w:kern w:val="0"/>
                <w:sz w:val="22"/>
                <w:lang w:val="en-US" w:eastAsia="zh-CN"/>
              </w:rPr>
              <w:t>其他社会保障缴费</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0.49</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0.49</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30113</w:t>
            </w:r>
          </w:p>
        </w:tc>
        <w:tc>
          <w:tcPr>
            <w:tcW w:w="3405" w:type="dxa"/>
            <w:tcBorders>
              <w:top w:val="nil"/>
              <w:left w:val="nil"/>
              <w:bottom w:val="single" w:color="auto" w:sz="4" w:space="0"/>
              <w:right w:val="single" w:color="auto" w:sz="4" w:space="0"/>
            </w:tcBorders>
            <w:noWrap/>
            <w:vAlign w:val="center"/>
          </w:tcPr>
          <w:p>
            <w:pPr>
              <w:widowControl/>
              <w:spacing w:line="560" w:lineRule="exact"/>
              <w:ind w:firstLine="440" w:firstLineChars="200"/>
              <w:jc w:val="both"/>
              <w:rPr>
                <w:rFonts w:ascii="TimesNewRoman" w:hAnsi="TimesNewRoman" w:cs="TimesNewRoman"/>
                <w:kern w:val="0"/>
                <w:sz w:val="22"/>
              </w:rPr>
            </w:pPr>
            <w:r>
              <w:rPr>
                <w:rFonts w:hint="eastAsia" w:ascii="TimesNewRoman" w:hAnsi="TimesNewRoman" w:cs="TimesNewRoman"/>
                <w:kern w:val="0"/>
                <w:sz w:val="22"/>
                <w:lang w:val="en-US" w:eastAsia="zh-CN"/>
              </w:rPr>
              <w:t>住房公积金</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7.25</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7.25</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302</w:t>
            </w:r>
          </w:p>
        </w:tc>
        <w:tc>
          <w:tcPr>
            <w:tcW w:w="3405" w:type="dxa"/>
            <w:tcBorders>
              <w:top w:val="nil"/>
              <w:left w:val="nil"/>
              <w:bottom w:val="single" w:color="auto" w:sz="4" w:space="0"/>
              <w:right w:val="single" w:color="auto" w:sz="4" w:space="0"/>
            </w:tcBorders>
            <w:noWrap/>
            <w:vAlign w:val="center"/>
          </w:tcPr>
          <w:p>
            <w:pPr>
              <w:widowControl/>
              <w:spacing w:line="560" w:lineRule="exact"/>
              <w:jc w:val="both"/>
              <w:rPr>
                <w:rFonts w:ascii="TimesNewRoman" w:hAnsi="TimesNewRoman" w:cs="TimesNewRoman"/>
                <w:kern w:val="0"/>
                <w:sz w:val="22"/>
              </w:rPr>
            </w:pPr>
            <w:r>
              <w:rPr>
                <w:rFonts w:hint="eastAsia" w:ascii="TimesNewRoman" w:hAnsi="TimesNewRoman" w:cs="TimesNewRoman"/>
                <w:kern w:val="0"/>
                <w:sz w:val="22"/>
                <w:lang w:val="en-US" w:eastAsia="zh-CN"/>
              </w:rPr>
              <w:t>商品和服务支出</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4.64</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0.01</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ascii="TimesNewRoman" w:hAnsi="TimesNewRoman" w:cs="TimesNewRoman"/>
                <w:kern w:val="0"/>
                <w:sz w:val="22"/>
              </w:rPr>
              <w:t>　</w:t>
            </w:r>
            <w:r>
              <w:rPr>
                <w:rFonts w:hint="eastAsia" w:ascii="TimesNewRoman" w:hAnsi="TimesNewRoman" w:cs="TimesNewRoman"/>
                <w:kern w:val="0"/>
                <w:sz w:val="22"/>
                <w:lang w:val="en-US" w:eastAsia="zh-CN"/>
              </w:rPr>
              <w:t>4.63</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30228</w:t>
            </w:r>
          </w:p>
        </w:tc>
        <w:tc>
          <w:tcPr>
            <w:tcW w:w="3405" w:type="dxa"/>
            <w:tcBorders>
              <w:top w:val="nil"/>
              <w:left w:val="nil"/>
              <w:bottom w:val="single" w:color="auto" w:sz="4" w:space="0"/>
              <w:right w:val="single" w:color="auto" w:sz="4" w:space="0"/>
            </w:tcBorders>
            <w:noWrap/>
            <w:vAlign w:val="center"/>
          </w:tcPr>
          <w:p>
            <w:pPr>
              <w:widowControl/>
              <w:spacing w:line="560" w:lineRule="exact"/>
              <w:ind w:firstLine="440" w:firstLineChars="200"/>
              <w:jc w:val="both"/>
              <w:rPr>
                <w:rFonts w:ascii="TimesNewRoman" w:hAnsi="TimesNewRoman" w:cs="TimesNewRoman"/>
                <w:kern w:val="0"/>
                <w:sz w:val="22"/>
              </w:rPr>
            </w:pPr>
            <w:r>
              <w:rPr>
                <w:rFonts w:hint="eastAsia" w:ascii="TimesNewRoman" w:hAnsi="TimesNewRoman" w:cs="TimesNewRoman"/>
                <w:kern w:val="0"/>
                <w:sz w:val="22"/>
                <w:lang w:val="en-US" w:eastAsia="zh-CN"/>
              </w:rPr>
              <w:t>工会经费</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hint="eastAsia" w:ascii="TimesNewRoman" w:hAnsi="TimesNewRoman" w:cs="TimesNewRoman"/>
                <w:kern w:val="0"/>
                <w:sz w:val="22"/>
                <w:lang w:val="en-US" w:eastAsia="zh-CN"/>
              </w:rPr>
              <w:t>0.01</w:t>
            </w:r>
            <w:r>
              <w:rPr>
                <w:rFonts w:ascii="TimesNewRoman" w:hAnsi="TimesNewRoman" w:cs="TimesNewRoman"/>
                <w:kern w:val="0"/>
                <w:sz w:val="22"/>
              </w:rPr>
              <w:t>　</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0.01</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30239</w:t>
            </w:r>
          </w:p>
        </w:tc>
        <w:tc>
          <w:tcPr>
            <w:tcW w:w="3405" w:type="dxa"/>
            <w:tcBorders>
              <w:top w:val="nil"/>
              <w:left w:val="nil"/>
              <w:bottom w:val="single" w:color="auto" w:sz="4" w:space="0"/>
              <w:right w:val="single" w:color="auto" w:sz="4" w:space="0"/>
            </w:tcBorders>
            <w:noWrap/>
            <w:vAlign w:val="center"/>
          </w:tcPr>
          <w:p>
            <w:pPr>
              <w:widowControl/>
              <w:spacing w:line="560" w:lineRule="exact"/>
              <w:ind w:firstLine="440" w:firstLineChars="200"/>
              <w:jc w:val="both"/>
              <w:rPr>
                <w:rFonts w:ascii="TimesNewRoman" w:hAnsi="TimesNewRoman" w:cs="TimesNewRoman"/>
                <w:kern w:val="0"/>
                <w:sz w:val="22"/>
              </w:rPr>
            </w:pPr>
            <w:r>
              <w:rPr>
                <w:rFonts w:hint="eastAsia" w:ascii="TimesNewRoman" w:hAnsi="TimesNewRoman" w:cs="TimesNewRoman"/>
                <w:kern w:val="0"/>
                <w:sz w:val="22"/>
                <w:lang w:val="en-US" w:eastAsia="zh-CN"/>
              </w:rPr>
              <w:t>其他交通费用</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hint="eastAsia" w:ascii="TimesNewRoman" w:hAnsi="TimesNewRoman" w:cs="TimesNewRoman"/>
                <w:kern w:val="0"/>
                <w:sz w:val="22"/>
                <w:lang w:val="en-US" w:eastAsia="zh-CN"/>
              </w:rPr>
              <w:t>4.63</w:t>
            </w:r>
            <w:r>
              <w:rPr>
                <w:rFonts w:ascii="TimesNewRoman" w:hAnsi="TimesNewRoman" w:cs="TimesNewRoman"/>
                <w:kern w:val="0"/>
                <w:sz w:val="22"/>
              </w:rPr>
              <w:t>　</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ascii="TimesNewRoman" w:hAnsi="TimesNewRoman" w:cs="TimesNewRoman"/>
                <w:kern w:val="0"/>
                <w:sz w:val="22"/>
              </w:rPr>
              <w:t>　</w:t>
            </w:r>
            <w:r>
              <w:rPr>
                <w:rFonts w:hint="eastAsia" w:ascii="TimesNewRoman" w:hAnsi="TimesNewRoman" w:cs="TimesNewRoman"/>
                <w:kern w:val="0"/>
                <w:sz w:val="22"/>
                <w:lang w:val="en-US" w:eastAsia="zh-CN"/>
              </w:rPr>
              <w:t>4.63</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303</w:t>
            </w:r>
          </w:p>
        </w:tc>
        <w:tc>
          <w:tcPr>
            <w:tcW w:w="3405" w:type="dxa"/>
            <w:tcBorders>
              <w:top w:val="nil"/>
              <w:left w:val="nil"/>
              <w:bottom w:val="single" w:color="auto" w:sz="4" w:space="0"/>
              <w:right w:val="single" w:color="auto" w:sz="4" w:space="0"/>
            </w:tcBorders>
            <w:noWrap/>
            <w:vAlign w:val="center"/>
          </w:tcPr>
          <w:p>
            <w:pPr>
              <w:widowControl/>
              <w:spacing w:line="560" w:lineRule="exact"/>
              <w:jc w:val="both"/>
              <w:rPr>
                <w:rFonts w:ascii="TimesNewRoman" w:hAnsi="TimesNewRoman" w:cs="TimesNewRoman"/>
                <w:kern w:val="0"/>
                <w:sz w:val="22"/>
              </w:rPr>
            </w:pPr>
            <w:r>
              <w:rPr>
                <w:rFonts w:hint="eastAsia" w:ascii="TimesNewRoman" w:hAnsi="TimesNewRoman" w:cs="TimesNewRoman"/>
                <w:kern w:val="0"/>
                <w:sz w:val="22"/>
                <w:lang w:val="en-US" w:eastAsia="zh-CN"/>
              </w:rPr>
              <w:t>对个人和家庭的补助</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28.99</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hint="eastAsia" w:ascii="TimesNewRoman" w:hAnsi="TimesNewRoman" w:cs="TimesNewRoman"/>
                <w:kern w:val="0"/>
                <w:sz w:val="22"/>
                <w:lang w:val="en-US" w:eastAsia="zh-CN"/>
              </w:rPr>
              <w:t>28.99</w:t>
            </w:r>
            <w:r>
              <w:rPr>
                <w:rFonts w:ascii="TimesNewRoman" w:hAnsi="TimesNewRoman" w:cs="TimesNewRoman"/>
                <w:kern w:val="0"/>
                <w:sz w:val="22"/>
              </w:rPr>
              <w:t>　</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1437" w:type="dxa"/>
            <w:tcBorders>
              <w:top w:val="nil"/>
              <w:left w:val="single" w:color="auto" w:sz="4" w:space="0"/>
              <w:bottom w:val="single" w:color="auto" w:sz="4" w:space="0"/>
              <w:right w:val="single" w:color="auto" w:sz="4" w:space="0"/>
            </w:tcBorders>
            <w:noWrap/>
            <w:vAlign w:val="center"/>
          </w:tcPr>
          <w:p>
            <w:pPr>
              <w:widowControl/>
              <w:spacing w:line="560" w:lineRule="exac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30302</w:t>
            </w:r>
          </w:p>
        </w:tc>
        <w:tc>
          <w:tcPr>
            <w:tcW w:w="3405" w:type="dxa"/>
            <w:tcBorders>
              <w:top w:val="nil"/>
              <w:left w:val="nil"/>
              <w:bottom w:val="single" w:color="auto" w:sz="4" w:space="0"/>
              <w:right w:val="single" w:color="auto" w:sz="4" w:space="0"/>
            </w:tcBorders>
            <w:noWrap/>
            <w:vAlign w:val="center"/>
          </w:tcPr>
          <w:p>
            <w:pPr>
              <w:widowControl/>
              <w:spacing w:line="560" w:lineRule="exact"/>
              <w:ind w:firstLine="440" w:firstLineChars="200"/>
              <w:jc w:val="both"/>
              <w:rPr>
                <w:rFonts w:ascii="TimesNewRoman" w:hAnsi="TimesNewRoman" w:cs="TimesNewRoman"/>
                <w:kern w:val="0"/>
                <w:sz w:val="22"/>
              </w:rPr>
            </w:pPr>
            <w:r>
              <w:rPr>
                <w:rFonts w:hint="eastAsia" w:ascii="TimesNewRoman" w:hAnsi="TimesNewRoman" w:cs="TimesNewRoman"/>
                <w:kern w:val="0"/>
                <w:sz w:val="22"/>
                <w:lang w:val="en-US" w:eastAsia="zh-CN"/>
              </w:rPr>
              <w:t>退休费</w:t>
            </w: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28.99</w:t>
            </w:r>
          </w:p>
        </w:tc>
        <w:tc>
          <w:tcPr>
            <w:tcW w:w="1395"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ascii="TimesNewRoman" w:hAnsi="TimesNewRoman" w:cs="TimesNewRoman"/>
                <w:kern w:val="0"/>
                <w:sz w:val="22"/>
              </w:rPr>
              <w:t>　</w:t>
            </w:r>
            <w:r>
              <w:rPr>
                <w:rFonts w:hint="eastAsia" w:ascii="TimesNewRoman" w:hAnsi="TimesNewRoman" w:cs="TimesNewRoman"/>
                <w:kern w:val="0"/>
                <w:sz w:val="22"/>
                <w:lang w:val="en-US" w:eastAsia="zh-CN"/>
              </w:rPr>
              <w:t xml:space="preserve">    28.99</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02" w:hRule="atLeast"/>
        </w:trPr>
        <w:tc>
          <w:tcPr>
            <w:tcW w:w="4842"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102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b/>
                <w:bCs/>
                <w:kern w:val="0"/>
                <w:sz w:val="22"/>
                <w:lang w:val="en-US" w:eastAsia="zh-CN"/>
              </w:rPr>
            </w:pPr>
            <w:r>
              <w:rPr>
                <w:rFonts w:hint="eastAsia" w:ascii="TimesNewRoman" w:hAnsi="TimesNewRoman" w:cs="TimesNewRoman"/>
                <w:b/>
                <w:bCs/>
                <w:kern w:val="0"/>
                <w:sz w:val="22"/>
                <w:lang w:val="en-US" w:eastAsia="zh-CN"/>
              </w:rPr>
              <w:t>119.2</w:t>
            </w:r>
          </w:p>
        </w:tc>
        <w:tc>
          <w:tcPr>
            <w:tcW w:w="1395" w:type="dxa"/>
            <w:tcBorders>
              <w:top w:val="nil"/>
              <w:left w:val="nil"/>
              <w:bottom w:val="single" w:color="auto" w:sz="4" w:space="0"/>
              <w:right w:val="single" w:color="auto" w:sz="4" w:space="0"/>
            </w:tcBorders>
            <w:noWrap/>
            <w:vAlign w:val="center"/>
          </w:tcPr>
          <w:p>
            <w:pPr>
              <w:widowControl/>
              <w:spacing w:line="560" w:lineRule="exact"/>
              <w:jc w:val="right"/>
              <w:rPr>
                <w:rFonts w:hint="default" w:ascii="TimesNewRoman" w:hAnsi="TimesNewRoman" w:eastAsia="仿宋_GB2312" w:cs="TimesNewRoman"/>
                <w:b/>
                <w:bCs/>
                <w:kern w:val="0"/>
                <w:sz w:val="22"/>
                <w:lang w:val="en-US" w:eastAsia="zh-CN"/>
              </w:rPr>
            </w:pPr>
            <w:r>
              <w:rPr>
                <w:rFonts w:ascii="TimesNewRoman" w:hAnsi="TimesNewRoman" w:cs="TimesNewRoman"/>
                <w:b/>
                <w:bCs/>
                <w:kern w:val="0"/>
                <w:sz w:val="22"/>
              </w:rPr>
              <w:t>　</w:t>
            </w:r>
            <w:r>
              <w:rPr>
                <w:rFonts w:hint="eastAsia" w:ascii="TimesNewRoman" w:hAnsi="TimesNewRoman" w:cs="TimesNewRoman"/>
                <w:b/>
                <w:bCs/>
                <w:kern w:val="0"/>
                <w:sz w:val="22"/>
                <w:lang w:val="en-US" w:eastAsia="zh-CN"/>
              </w:rPr>
              <w:t>114.57</w:t>
            </w:r>
          </w:p>
        </w:tc>
        <w:tc>
          <w:tcPr>
            <w:tcW w:w="1208"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b/>
                <w:bCs/>
                <w:kern w:val="0"/>
                <w:sz w:val="22"/>
                <w:lang w:val="en-US" w:eastAsia="zh-CN"/>
              </w:rPr>
            </w:pPr>
            <w:r>
              <w:rPr>
                <w:rFonts w:ascii="TimesNewRoman" w:hAnsi="TimesNewRoman" w:cs="TimesNewRoman"/>
                <w:b/>
                <w:bCs/>
                <w:kern w:val="0"/>
                <w:sz w:val="22"/>
              </w:rPr>
              <w:t>　</w:t>
            </w:r>
            <w:r>
              <w:rPr>
                <w:rFonts w:hint="eastAsia" w:ascii="TimesNewRoman" w:hAnsi="TimesNewRoman" w:cs="TimesNewRoman"/>
                <w:b/>
                <w:bCs/>
                <w:kern w:val="0"/>
                <w:sz w:val="22"/>
                <w:lang w:val="en-US" w:eastAsia="zh-CN"/>
              </w:rPr>
              <w:t>4.63</w:t>
            </w:r>
          </w:p>
        </w:tc>
      </w:tr>
    </w:tbl>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kern w:val="0"/>
          <w:sz w:val="20"/>
        </w:rPr>
      </w:pPr>
      <w:r>
        <w:rPr>
          <w:rFonts w:ascii="TimesNewRoman" w:hAnsi="TimesNewRoman" w:cs="TimesNewRoman"/>
          <w:kern w:val="0"/>
          <w:sz w:val="20"/>
        </w:rPr>
        <w:t>部门公开表7</w:t>
      </w:r>
    </w:p>
    <w:p>
      <w:pPr>
        <w:widowControl/>
        <w:spacing w:beforeLines="50"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val="en-US" w:eastAsia="zh-CN"/>
        </w:rPr>
        <w:t>总工会</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7"/>
        <w:tblW w:w="8505" w:type="dxa"/>
        <w:tblInd w:w="0" w:type="dxa"/>
        <w:tblLayout w:type="fixed"/>
        <w:tblCellMar>
          <w:top w:w="0" w:type="dxa"/>
          <w:left w:w="108" w:type="dxa"/>
          <w:bottom w:w="0" w:type="dxa"/>
          <w:right w:w="108" w:type="dxa"/>
        </w:tblCellMar>
      </w:tblPr>
      <w:tblGrid>
        <w:gridCol w:w="1165"/>
        <w:gridCol w:w="3820"/>
        <w:gridCol w:w="1000"/>
        <w:gridCol w:w="1230"/>
        <w:gridCol w:w="1290"/>
      </w:tblGrid>
      <w:tr>
        <w:tblPrEx>
          <w:tblCellMar>
            <w:top w:w="0" w:type="dxa"/>
            <w:left w:w="108" w:type="dxa"/>
            <w:bottom w:w="0" w:type="dxa"/>
            <w:right w:w="108" w:type="dxa"/>
          </w:tblCellMar>
        </w:tblPrEx>
        <w:trPr>
          <w:trHeight w:val="465" w:hRule="atLeast"/>
        </w:trPr>
        <w:tc>
          <w:tcPr>
            <w:tcW w:w="116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科目编码</w:t>
            </w:r>
          </w:p>
        </w:tc>
        <w:tc>
          <w:tcPr>
            <w:tcW w:w="382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3520"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本年政府性基金预算支出</w:t>
            </w:r>
          </w:p>
        </w:tc>
      </w:tr>
      <w:tr>
        <w:tblPrEx>
          <w:tblCellMar>
            <w:top w:w="0" w:type="dxa"/>
            <w:left w:w="108" w:type="dxa"/>
            <w:bottom w:w="0" w:type="dxa"/>
            <w:right w:w="108" w:type="dxa"/>
          </w:tblCellMar>
        </w:tblPrEx>
        <w:trPr>
          <w:trHeight w:val="465" w:hRule="atLeast"/>
        </w:trPr>
        <w:tc>
          <w:tcPr>
            <w:tcW w:w="116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382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00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12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129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eastAsia" w:ascii="TimesNewRoman" w:hAnsi="TimesNewRoman" w:eastAsia="仿宋_GB2312" w:cs="TimesNewRoman"/>
                <w:kern w:val="0"/>
                <w:sz w:val="20"/>
                <w:lang w:val="en-US" w:eastAsia="zh-CN"/>
              </w:rPr>
            </w:pP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820" w:type="dxa"/>
            <w:tcBorders>
              <w:top w:val="nil"/>
              <w:left w:val="nil"/>
              <w:bottom w:val="single" w:color="auto" w:sz="4" w:space="0"/>
              <w:right w:val="single" w:color="auto" w:sz="4" w:space="0"/>
            </w:tcBorders>
            <w:noWrap/>
            <w:vAlign w:val="center"/>
          </w:tcPr>
          <w:p>
            <w:pPr>
              <w:widowControl/>
              <w:spacing w:line="560" w:lineRule="exact"/>
              <w:ind w:firstLine="400" w:firstLineChars="200"/>
              <w:jc w:val="left"/>
              <w:rPr>
                <w:rFonts w:ascii="TimesNewRoman" w:hAnsi="TimesNewRoman" w:cs="TimesNewRoman"/>
                <w:kern w:val="0"/>
                <w:sz w:val="20"/>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7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ind w:firstLine="110" w:firstLineChars="50"/>
              <w:jc w:val="left"/>
              <w:rPr>
                <w:rFonts w:ascii="TimesNewRoman" w:hAnsi="TimesNewRoman" w:cs="TimesNewRoman"/>
                <w:kern w:val="0"/>
                <w:sz w:val="22"/>
              </w:rPr>
            </w:pP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4985"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bl>
    <w:p>
      <w:pPr>
        <w:widowControl/>
        <w:spacing w:line="560" w:lineRule="exact"/>
        <w:jc w:val="left"/>
        <w:rPr>
          <w:rFonts w:ascii="TimesNewRoman" w:hAnsi="TimesNewRoman" w:cs="TimesNewRoman"/>
          <w:kern w:val="0"/>
          <w:sz w:val="24"/>
        </w:rPr>
      </w:pPr>
      <w:r>
        <w:rPr>
          <w:rFonts w:ascii="TimesNewRoman" w:hAnsi="TimesNewRoman" w:cs="TimesNewRoman"/>
          <w:kern w:val="0"/>
          <w:sz w:val="24"/>
        </w:rPr>
        <w:t>说明：“</w:t>
      </w:r>
      <w:r>
        <w:rPr>
          <w:rFonts w:hint="eastAsia" w:ascii="TimesNewRoman" w:hAnsi="TimesNewRoman" w:cs="TimesNewRoman"/>
          <w:kern w:val="0"/>
          <w:sz w:val="24"/>
        </w:rPr>
        <w:t>宿松县</w:t>
      </w:r>
      <w:r>
        <w:rPr>
          <w:rFonts w:hint="eastAsia" w:ascii="TimesNewRoman" w:hAnsi="TimesNewRoman" w:cs="TimesNewRoman"/>
          <w:kern w:val="0"/>
          <w:sz w:val="24"/>
          <w:lang w:val="en-US" w:eastAsia="zh-CN"/>
        </w:rPr>
        <w:t>总工会</w:t>
      </w:r>
      <w:r>
        <w:rPr>
          <w:rFonts w:ascii="TimesNewRoman" w:hAnsi="TimesNewRoman" w:cs="TimesNewRoman"/>
          <w:kern w:val="0"/>
          <w:sz w:val="24"/>
        </w:rPr>
        <w:t>没有政府性基金预算拨款收入，也没有政府性基金预算拨款安排的支出，故本表无数据”。</w:t>
      </w: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pStyle w:val="6"/>
        <w:adjustRightInd w:val="0"/>
        <w:snapToGrid w:val="0"/>
        <w:spacing w:afterLines="50" w:line="560" w:lineRule="exact"/>
        <w:ind w:right="102"/>
        <w:jc w:val="right"/>
        <w:rPr>
          <w:rFonts w:ascii="TimesNewRoman" w:hAnsi="TimesNewRoman" w:eastAsia="仿宋_GB2312" w:cs="TimesNewRoman"/>
          <w:kern w:val="0"/>
          <w:sz w:val="20"/>
          <w:szCs w:val="20"/>
        </w:rPr>
      </w:pPr>
    </w:p>
    <w:p>
      <w:pPr>
        <w:pStyle w:val="6"/>
        <w:adjustRightInd w:val="0"/>
        <w:snapToGrid w:val="0"/>
        <w:spacing w:afterLines="50" w:line="560" w:lineRule="exact"/>
        <w:ind w:right="102"/>
        <w:jc w:val="right"/>
        <w:rPr>
          <w:rFonts w:ascii="TimesNewRoman" w:hAnsi="TimesNewRoman" w:eastAsia="黑体" w:cs="TimesNewRoman"/>
          <w:bCs/>
          <w:sz w:val="36"/>
          <w:szCs w:val="36"/>
        </w:rPr>
      </w:pPr>
      <w:r>
        <w:rPr>
          <w:rFonts w:ascii="TimesNewRoman" w:hAnsi="TimesNewRoman" w:eastAsia="仿宋_GB2312" w:cs="TimesNewRoman"/>
          <w:kern w:val="0"/>
          <w:sz w:val="20"/>
          <w:szCs w:val="20"/>
        </w:rPr>
        <w:t xml:space="preserve"> 部门公开表8</w:t>
      </w:r>
    </w:p>
    <w:tbl>
      <w:tblPr>
        <w:tblStyle w:val="7"/>
        <w:tblW w:w="9280" w:type="dxa"/>
        <w:tblInd w:w="0" w:type="dxa"/>
        <w:tblLayout w:type="fixed"/>
        <w:tblCellMar>
          <w:top w:w="0" w:type="dxa"/>
          <w:left w:w="108" w:type="dxa"/>
          <w:bottom w:w="0" w:type="dxa"/>
          <w:right w:w="108" w:type="dxa"/>
        </w:tblCellMar>
      </w:tblPr>
      <w:tblGrid>
        <w:gridCol w:w="491"/>
        <w:gridCol w:w="623"/>
        <w:gridCol w:w="3970"/>
        <w:gridCol w:w="236"/>
        <w:gridCol w:w="1094"/>
        <w:gridCol w:w="1390"/>
        <w:gridCol w:w="161"/>
        <w:gridCol w:w="1143"/>
        <w:gridCol w:w="172"/>
      </w:tblGrid>
      <w:tr>
        <w:tblPrEx>
          <w:tblCellMar>
            <w:top w:w="0" w:type="dxa"/>
            <w:left w:w="108" w:type="dxa"/>
            <w:bottom w:w="0" w:type="dxa"/>
            <w:right w:w="108" w:type="dxa"/>
          </w:tblCellMar>
        </w:tblPrEx>
        <w:trPr>
          <w:gridAfter w:val="1"/>
          <w:wAfter w:w="172" w:type="dxa"/>
          <w:trHeight w:val="553" w:hRule="atLeast"/>
        </w:trPr>
        <w:tc>
          <w:tcPr>
            <w:tcW w:w="9108" w:type="dxa"/>
            <w:gridSpan w:val="8"/>
            <w:tcBorders>
              <w:top w:val="nil"/>
              <w:left w:val="nil"/>
              <w:bottom w:val="nil"/>
              <w:right w:val="nil"/>
            </w:tcBorders>
            <w:noWrap/>
            <w:vAlign w:val="center"/>
          </w:tcPr>
          <w:p>
            <w:pPr>
              <w:widowControl/>
              <w:spacing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val="en-US" w:eastAsia="zh-CN"/>
              </w:rPr>
              <w:t>总工会</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18"/>
                <w:szCs w:val="18"/>
              </w:rPr>
            </w:pPr>
          </w:p>
        </w:tc>
        <w:tc>
          <w:tcPr>
            <w:tcW w:w="623"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p>
        </w:tc>
        <w:tc>
          <w:tcPr>
            <w:tcW w:w="3970"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p>
        </w:tc>
        <w:tc>
          <w:tcPr>
            <w:tcW w:w="236" w:type="dxa"/>
            <w:tcBorders>
              <w:top w:val="nil"/>
              <w:left w:val="nil"/>
              <w:bottom w:val="nil"/>
              <w:right w:val="nil"/>
            </w:tcBorders>
            <w:noWrap/>
            <w:vAlign w:val="center"/>
          </w:tcPr>
          <w:p>
            <w:pPr>
              <w:widowControl/>
              <w:spacing w:line="560" w:lineRule="exact"/>
              <w:jc w:val="left"/>
              <w:rPr>
                <w:rFonts w:ascii="TimesNewRoman" w:hAnsi="TimesNewRoman" w:cs="TimesNewRoman"/>
                <w:kern w:val="0"/>
                <w:sz w:val="20"/>
              </w:rPr>
            </w:pPr>
          </w:p>
        </w:tc>
        <w:tc>
          <w:tcPr>
            <w:tcW w:w="2645" w:type="dxa"/>
            <w:gridSpan w:val="3"/>
            <w:tcBorders>
              <w:top w:val="nil"/>
              <w:left w:val="nil"/>
              <w:bottom w:val="nil"/>
              <w:right w:val="nil"/>
            </w:tcBorders>
            <w:noWrap/>
            <w:vAlign w:val="center"/>
          </w:tcPr>
          <w:p>
            <w:pPr>
              <w:widowControl/>
              <w:spacing w:line="560" w:lineRule="exact"/>
              <w:jc w:val="left"/>
              <w:rPr>
                <w:rFonts w:ascii="TimesNewRoman" w:hAnsi="TimesNewRoman" w:cs="TimesNewRoman"/>
                <w:kern w:val="0"/>
                <w:sz w:val="20"/>
              </w:rPr>
            </w:pPr>
          </w:p>
        </w:tc>
        <w:tc>
          <w:tcPr>
            <w:tcW w:w="1315" w:type="dxa"/>
            <w:gridSpan w:val="2"/>
            <w:tcBorders>
              <w:top w:val="nil"/>
              <w:left w:val="nil"/>
              <w:bottom w:val="nil"/>
              <w:right w:val="nil"/>
            </w:tcBorders>
            <w:noWrap/>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CellMar>
            <w:top w:w="0" w:type="dxa"/>
            <w:left w:w="108" w:type="dxa"/>
            <w:bottom w:w="0" w:type="dxa"/>
            <w:right w:w="108" w:type="dxa"/>
          </w:tblCellMar>
        </w:tblPrEx>
        <w:trPr>
          <w:gridAfter w:val="1"/>
          <w:wAfter w:w="172" w:type="dxa"/>
          <w:trHeight w:val="405" w:hRule="atLeast"/>
        </w:trPr>
        <w:tc>
          <w:tcPr>
            <w:tcW w:w="508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4"/>
              </w:rPr>
            </w:pPr>
            <w:r>
              <w:rPr>
                <w:rFonts w:ascii="TimesNewRoman" w:hAnsi="TimesNewRoman" w:cs="TimesNewRoman"/>
                <w:b/>
                <w:kern w:val="0"/>
                <w:sz w:val="22"/>
              </w:rPr>
              <w:t>功能分类科目</w:t>
            </w:r>
          </w:p>
        </w:tc>
        <w:tc>
          <w:tcPr>
            <w:tcW w:w="4024"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b/>
                <w:bCs/>
                <w:kern w:val="0"/>
                <w:sz w:val="22"/>
              </w:rPr>
              <w:t>国有资本经营预算拨款支出</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科目编码</w:t>
            </w: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133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139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Cs/>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bCs/>
                <w:kern w:val="0"/>
                <w:sz w:val="22"/>
              </w:rPr>
            </w:pPr>
          </w:p>
        </w:tc>
        <w:tc>
          <w:tcPr>
            <w:tcW w:w="133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9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ind w:firstLine="440" w:firstLineChars="200"/>
              <w:jc w:val="left"/>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ind w:firstLine="880" w:firstLineChars="400"/>
              <w:jc w:val="left"/>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560" w:lineRule="exact"/>
              <w:jc w:val="center"/>
              <w:rPr>
                <w:rFonts w:ascii="TimesNewRoman" w:hAnsi="TimesNewRoman" w:cs="TimesNewRoman"/>
                <w:kern w:val="0"/>
                <w:sz w:val="24"/>
              </w:rPr>
            </w:pPr>
          </w:p>
        </w:tc>
        <w:tc>
          <w:tcPr>
            <w:tcW w:w="3970" w:type="dxa"/>
            <w:tcBorders>
              <w:top w:val="nil"/>
              <w:left w:val="nil"/>
              <w:bottom w:val="single" w:color="auto" w:sz="4" w:space="0"/>
              <w:right w:val="single" w:color="auto" w:sz="4" w:space="0"/>
            </w:tcBorders>
            <w:noWrap/>
            <w:vAlign w:val="bottom"/>
          </w:tcPr>
          <w:p>
            <w:pPr>
              <w:widowControl/>
              <w:spacing w:line="560" w:lineRule="exact"/>
              <w:jc w:val="center"/>
              <w:rPr>
                <w:rFonts w:ascii="TimesNewRoman" w:hAnsi="TimesNewRoman" w:cs="TimesNewRoman"/>
                <w:kern w:val="0"/>
                <w:sz w:val="24"/>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508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795" w:hRule="atLeast"/>
        </w:trPr>
        <w:tc>
          <w:tcPr>
            <w:tcW w:w="9108" w:type="dxa"/>
            <w:gridSpan w:val="8"/>
            <w:tcBorders>
              <w:top w:val="single" w:color="auto" w:sz="4" w:space="0"/>
              <w:left w:val="nil"/>
              <w:bottom w:val="nil"/>
              <w:right w:val="nil"/>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说明：“</w:t>
            </w:r>
            <w:r>
              <w:rPr>
                <w:rFonts w:hint="eastAsia" w:ascii="TimesNewRoman" w:hAnsi="TimesNewRoman" w:cs="TimesNewRoman"/>
                <w:kern w:val="0"/>
                <w:sz w:val="24"/>
              </w:rPr>
              <w:t>宿松县</w:t>
            </w:r>
            <w:r>
              <w:rPr>
                <w:rFonts w:hint="eastAsia" w:ascii="TimesNewRoman" w:hAnsi="TimesNewRoman" w:cs="TimesNewRoman"/>
                <w:kern w:val="0"/>
                <w:sz w:val="24"/>
                <w:lang w:val="en-US" w:eastAsia="zh-CN"/>
              </w:rPr>
              <w:t>总工会</w:t>
            </w:r>
            <w:r>
              <w:rPr>
                <w:rFonts w:ascii="TimesNewRoman" w:hAnsi="TimesNewRoman" w:cs="TimesNewRoman"/>
                <w:kern w:val="0"/>
                <w:sz w:val="24"/>
              </w:rPr>
              <w:t>没有国有资本经营预算拨款收入，也没有国有资本经营预算拨款安排的支出，故本表无数据”。</w:t>
            </w:r>
          </w:p>
        </w:tc>
      </w:tr>
    </w:tbl>
    <w:p>
      <w:pPr>
        <w:pStyle w:val="6"/>
        <w:adjustRightInd w:val="0"/>
        <w:snapToGrid w:val="0"/>
        <w:spacing w:line="560" w:lineRule="exact"/>
        <w:ind w:right="400"/>
        <w:rPr>
          <w:rFonts w:ascii="TimesNewRoman" w:hAnsi="TimesNewRoman" w:cs="TimesNewRoman"/>
          <w:sz w:val="20"/>
          <w:szCs w:val="20"/>
        </w:rPr>
      </w:pPr>
    </w:p>
    <w:p>
      <w:pPr>
        <w:spacing w:line="560" w:lineRule="exact"/>
        <w:jc w:val="right"/>
        <w:rPr>
          <w:rFonts w:ascii="TimesNewRoman" w:hAnsi="TimesNewRoman" w:cs="TimesNewRoman"/>
          <w:kern w:val="0"/>
          <w:sz w:val="20"/>
        </w:rPr>
        <w:sectPr>
          <w:pgSz w:w="11906" w:h="16838"/>
          <w:pgMar w:top="1440" w:right="1797" w:bottom="1440" w:left="1797" w:header="851" w:footer="992" w:gutter="0"/>
          <w:pgNumType w:fmt="numberInDash"/>
          <w:cols w:space="720" w:num="1"/>
          <w:docGrid w:type="linesAndChars" w:linePitch="312" w:charSpace="0"/>
        </w:sectPr>
      </w:pPr>
    </w:p>
    <w:p>
      <w:pPr>
        <w:spacing w:line="560" w:lineRule="exact"/>
        <w:jc w:val="center"/>
        <w:rPr>
          <w:rFonts w:ascii="TimesNewRoman" w:hAnsi="TimesNewRoman" w:cs="TimesNewRoman"/>
          <w:kern w:val="0"/>
          <w:sz w:val="20"/>
        </w:rPr>
      </w:pPr>
      <w:r>
        <w:rPr>
          <w:rFonts w:ascii="TimesNewRoman" w:hAnsi="TimesNewRoman" w:cs="TimesNewRoman"/>
          <w:kern w:val="0"/>
          <w:sz w:val="20"/>
        </w:rPr>
        <w:t>部门公开表9</w:t>
      </w:r>
    </w:p>
    <w:p>
      <w:pPr>
        <w:widowControl/>
        <w:spacing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ascii="TimesNewRoman" w:hAnsi="TimesNewRoman" w:eastAsia="华文中宋" w:cs="TimesNewRoman"/>
          <w:b/>
          <w:bCs/>
          <w:kern w:val="0"/>
          <w:sz w:val="30"/>
          <w:szCs w:val="30"/>
        </w:rPr>
        <w:t>XX（部门）202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年项目支出表</w:t>
      </w:r>
    </w:p>
    <w:p>
      <w:pPr>
        <w:spacing w:line="560" w:lineRule="exact"/>
        <w:ind w:left="7844" w:hanging="7807"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7"/>
        <w:tblW w:w="14140" w:type="dxa"/>
        <w:tblInd w:w="0" w:type="dxa"/>
        <w:tblLayout w:type="fixed"/>
        <w:tblCellMar>
          <w:top w:w="0" w:type="dxa"/>
          <w:left w:w="108" w:type="dxa"/>
          <w:bottom w:w="0" w:type="dxa"/>
          <w:right w:w="108" w:type="dxa"/>
        </w:tblCellMar>
      </w:tblPr>
      <w:tblGrid>
        <w:gridCol w:w="1200"/>
        <w:gridCol w:w="1440"/>
        <w:gridCol w:w="1360"/>
        <w:gridCol w:w="920"/>
        <w:gridCol w:w="1220"/>
        <w:gridCol w:w="1220"/>
        <w:gridCol w:w="1220"/>
        <w:gridCol w:w="1220"/>
        <w:gridCol w:w="1220"/>
        <w:gridCol w:w="1220"/>
        <w:gridCol w:w="1020"/>
        <w:gridCol w:w="880"/>
      </w:tblGrid>
      <w:tr>
        <w:tblPrEx>
          <w:tblCellMar>
            <w:top w:w="0" w:type="dxa"/>
            <w:left w:w="108" w:type="dxa"/>
            <w:bottom w:w="0" w:type="dxa"/>
            <w:right w:w="108" w:type="dxa"/>
          </w:tblCellMar>
        </w:tblPrEx>
        <w:trPr>
          <w:trHeight w:val="762" w:hRule="atLeast"/>
        </w:trPr>
        <w:tc>
          <w:tcPr>
            <w:tcW w:w="120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类型</w:t>
            </w:r>
          </w:p>
        </w:tc>
        <w:tc>
          <w:tcPr>
            <w:tcW w:w="1440"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项目名称</w:t>
            </w:r>
          </w:p>
        </w:tc>
        <w:tc>
          <w:tcPr>
            <w:tcW w:w="136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项目单位</w:t>
            </w:r>
          </w:p>
        </w:tc>
        <w:tc>
          <w:tcPr>
            <w:tcW w:w="92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3660" w:type="dxa"/>
            <w:gridSpan w:val="3"/>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本年财政拨款</w:t>
            </w:r>
          </w:p>
        </w:tc>
        <w:tc>
          <w:tcPr>
            <w:tcW w:w="3660" w:type="dxa"/>
            <w:gridSpan w:val="3"/>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单位</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资金</w:t>
            </w:r>
          </w:p>
        </w:tc>
      </w:tr>
      <w:tr>
        <w:tblPrEx>
          <w:tblCellMar>
            <w:top w:w="0" w:type="dxa"/>
            <w:left w:w="108" w:type="dxa"/>
            <w:bottom w:w="0" w:type="dxa"/>
            <w:right w:w="108" w:type="dxa"/>
          </w:tblCellMar>
        </w:tblPrEx>
        <w:trPr>
          <w:trHeight w:val="762" w:hRule="atLeast"/>
        </w:trPr>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440"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92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22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一般公共预算</w:t>
            </w:r>
          </w:p>
        </w:tc>
        <w:tc>
          <w:tcPr>
            <w:tcW w:w="122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政府性</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基金预算</w:t>
            </w:r>
          </w:p>
        </w:tc>
        <w:tc>
          <w:tcPr>
            <w:tcW w:w="122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国有资本经营预算</w:t>
            </w:r>
          </w:p>
        </w:tc>
        <w:tc>
          <w:tcPr>
            <w:tcW w:w="122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一般公共预算</w:t>
            </w:r>
          </w:p>
        </w:tc>
        <w:tc>
          <w:tcPr>
            <w:tcW w:w="122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政府性</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基金预算</w:t>
            </w:r>
          </w:p>
        </w:tc>
        <w:tc>
          <w:tcPr>
            <w:tcW w:w="122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b/>
                <w:bCs/>
                <w:kern w:val="0"/>
                <w:sz w:val="22"/>
                <w:lang w:val="en-US" w:eastAsia="zh-CN"/>
              </w:rPr>
            </w:pPr>
            <w:r>
              <w:rPr>
                <w:rFonts w:ascii="TimesNewRoman" w:hAnsi="TimesNewRoman" w:cs="TimesNewRoman"/>
                <w:b/>
                <w:bCs/>
                <w:kern w:val="0"/>
                <w:sz w:val="22"/>
              </w:rPr>
              <w:t>　</w:t>
            </w:r>
            <w:r>
              <w:rPr>
                <w:rFonts w:hint="eastAsia" w:ascii="TimesNewRoman" w:hAnsi="TimesNewRoman" w:cs="TimesNewRoman"/>
                <w:b/>
                <w:bCs/>
                <w:kern w:val="0"/>
                <w:sz w:val="22"/>
                <w:lang w:val="en-US" w:eastAsia="zh-CN"/>
              </w:rPr>
              <w:t>31</w:t>
            </w:r>
          </w:p>
        </w:tc>
        <w:tc>
          <w:tcPr>
            <w:tcW w:w="1440"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kern w:val="0"/>
                <w:sz w:val="22"/>
                <w:lang w:val="en-US" w:eastAsia="zh-CN"/>
              </w:rPr>
            </w:pPr>
            <w:r>
              <w:rPr>
                <w:rFonts w:hint="eastAsia" w:ascii="TimesNewRoman" w:hAnsi="TimesNewRoman" w:cs="TimesNewRoman"/>
                <w:kern w:val="0"/>
                <w:sz w:val="22"/>
                <w:lang w:val="en-US" w:eastAsia="zh-CN"/>
              </w:rPr>
              <w:t>2023年工会经费</w:t>
            </w:r>
          </w:p>
        </w:tc>
        <w:tc>
          <w:tcPr>
            <w:tcW w:w="1360" w:type="dxa"/>
            <w:tcBorders>
              <w:top w:val="nil"/>
              <w:left w:val="nil"/>
              <w:bottom w:val="single" w:color="auto" w:sz="4" w:space="0"/>
              <w:right w:val="single" w:color="auto" w:sz="4" w:space="0"/>
            </w:tcBorders>
            <w:noWrap/>
            <w:vAlign w:val="center"/>
          </w:tcPr>
          <w:p>
            <w:pPr>
              <w:widowControl/>
              <w:spacing w:line="560" w:lineRule="exact"/>
              <w:jc w:val="left"/>
              <w:rPr>
                <w:rFonts w:hint="default" w:ascii="TimesNewRoman" w:hAnsi="TimesNewRoman" w:eastAsia="仿宋_GB2312" w:cs="TimesNewRoman"/>
                <w:b/>
                <w:bCs/>
                <w:kern w:val="0"/>
                <w:sz w:val="22"/>
                <w:lang w:val="en-US" w:eastAsia="zh-CN"/>
              </w:rPr>
            </w:pPr>
            <w:r>
              <w:rPr>
                <w:rFonts w:ascii="TimesNewRoman" w:hAnsi="TimesNewRoman" w:cs="TimesNewRoman"/>
                <w:b/>
                <w:bCs/>
                <w:kern w:val="0"/>
                <w:sz w:val="22"/>
              </w:rPr>
              <w:t>　</w:t>
            </w:r>
            <w:r>
              <w:rPr>
                <w:rFonts w:hint="eastAsia" w:ascii="TimesNewRoman" w:hAnsi="TimesNewRoman" w:cs="TimesNewRoman"/>
                <w:b/>
                <w:bCs/>
                <w:kern w:val="0"/>
                <w:sz w:val="22"/>
                <w:lang w:val="en-US" w:eastAsia="zh-CN"/>
              </w:rPr>
              <w:t>宿松县总工会</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145.37</w:t>
            </w:r>
            <w:r>
              <w:rPr>
                <w:rFonts w:ascii="TimesNewRoman" w:hAnsi="TimesNewRoman" w:cs="TimesNewRoman"/>
                <w:b/>
                <w:bCs/>
                <w:kern w:val="0"/>
                <w:sz w:val="22"/>
              </w:rPr>
              <w:t>　</w:t>
            </w:r>
          </w:p>
        </w:tc>
        <w:tc>
          <w:tcPr>
            <w:tcW w:w="12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145.37</w:t>
            </w:r>
            <w:r>
              <w:rPr>
                <w:rFonts w:ascii="TimesNewRoman" w:hAnsi="TimesNewRoman" w:cs="TimesNewRoman"/>
                <w:b/>
                <w:bCs/>
                <w:kern w:val="0"/>
                <w:sz w:val="22"/>
              </w:rPr>
              <w:t>　</w:t>
            </w:r>
          </w:p>
        </w:tc>
        <w:tc>
          <w:tcPr>
            <w:tcW w:w="12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r>
        <w:tblPrEx>
          <w:tblCellMar>
            <w:top w:w="0" w:type="dxa"/>
            <w:left w:w="108" w:type="dxa"/>
            <w:bottom w:w="0" w:type="dxa"/>
            <w:right w:w="108" w:type="dxa"/>
          </w:tblCellMar>
        </w:tblPrEx>
        <w:trPr>
          <w:trHeight w:val="363" w:hRule="exact"/>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44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36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　</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r>
        <w:tblPrEx>
          <w:tblCellMar>
            <w:top w:w="0" w:type="dxa"/>
            <w:left w:w="108" w:type="dxa"/>
            <w:bottom w:w="0" w:type="dxa"/>
            <w:right w:w="108" w:type="dxa"/>
          </w:tblCellMar>
        </w:tblPrEx>
        <w:trPr>
          <w:trHeight w:val="363" w:hRule="exact"/>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44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36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3" w:hRule="exact"/>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4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136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3" w:hRule="exact"/>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44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136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4000" w:type="dxa"/>
            <w:gridSpan w:val="3"/>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计　</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145.37</w:t>
            </w: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hint="eastAsia" w:ascii="TimesNewRoman" w:hAnsi="TimesNewRoman" w:cs="TimesNewRoman"/>
                <w:b/>
                <w:bCs/>
                <w:kern w:val="0"/>
                <w:sz w:val="22"/>
                <w:lang w:val="en-US" w:eastAsia="zh-CN"/>
              </w:rPr>
              <w:t>145.37</w:t>
            </w: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bl>
    <w:p>
      <w:pPr>
        <w:spacing w:line="560" w:lineRule="exact"/>
        <w:rPr>
          <w:rFonts w:ascii="TimesNewRoman" w:hAnsi="TimesNewRoman" w:cs="TimesNewRoman"/>
          <w:kern w:val="0"/>
          <w:sz w:val="22"/>
        </w:rPr>
      </w:pPr>
    </w:p>
    <w:p>
      <w:pPr>
        <w:spacing w:line="560" w:lineRule="exact"/>
        <w:rPr>
          <w:rFonts w:ascii="TimesNewRoman" w:hAnsi="TimesNewRoman" w:cs="TimesNewRoman"/>
          <w:kern w:val="0"/>
          <w:sz w:val="22"/>
        </w:rPr>
        <w:sectPr>
          <w:pgSz w:w="16838" w:h="11906" w:orient="landscape"/>
          <w:pgMar w:top="1797" w:right="1440" w:bottom="1797" w:left="1440" w:header="850" w:footer="992" w:gutter="0"/>
          <w:pgNumType w:fmt="numberInDash"/>
          <w:cols w:space="720" w:num="1"/>
          <w:docGrid w:type="linesAndChars" w:linePitch="437" w:charSpace="2457"/>
        </w:sectPr>
      </w:pPr>
    </w:p>
    <w:p>
      <w:pPr>
        <w:pStyle w:val="6"/>
        <w:wordWrap w:val="0"/>
        <w:adjustRightInd w:val="0"/>
        <w:snapToGrid w:val="0"/>
        <w:spacing w:afterLines="50" w:line="560" w:lineRule="exact"/>
        <w:jc w:val="center"/>
        <w:rPr>
          <w:rFonts w:ascii="TimesNewRoman" w:hAnsi="TimesNewRoman" w:cs="TimesNewRoman"/>
          <w:sz w:val="20"/>
          <w:szCs w:val="20"/>
        </w:rPr>
      </w:pPr>
      <w:r>
        <w:rPr>
          <w:rFonts w:ascii="TimesNewRoman" w:hAnsi="TimesNewRoman" w:cs="TimesNewRoman"/>
          <w:sz w:val="20"/>
          <w:szCs w:val="20"/>
        </w:rPr>
        <w:t xml:space="preserve">    部门公开表10</w:t>
      </w:r>
    </w:p>
    <w:tbl>
      <w:tblPr>
        <w:tblStyle w:val="7"/>
        <w:tblW w:w="8879" w:type="dxa"/>
        <w:jc w:val="center"/>
        <w:tblLayout w:type="fixed"/>
        <w:tblCellMar>
          <w:top w:w="0" w:type="dxa"/>
          <w:left w:w="108" w:type="dxa"/>
          <w:bottom w:w="0" w:type="dxa"/>
          <w:right w:w="108" w:type="dxa"/>
        </w:tblCellMar>
      </w:tblPr>
      <w:tblGrid>
        <w:gridCol w:w="1200"/>
        <w:gridCol w:w="1150"/>
        <w:gridCol w:w="900"/>
        <w:gridCol w:w="1034"/>
        <w:gridCol w:w="1147"/>
        <w:gridCol w:w="1140"/>
        <w:gridCol w:w="1120"/>
        <w:gridCol w:w="1188"/>
      </w:tblGrid>
      <w:tr>
        <w:tblPrEx>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noWrap/>
            <w:vAlign w:val="center"/>
          </w:tcPr>
          <w:p>
            <w:pPr>
              <w:widowControl/>
              <w:spacing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val="en-US" w:eastAsia="zh-CN"/>
              </w:rPr>
              <w:t>总工会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年政府采购支出表</w:t>
            </w:r>
          </w:p>
          <w:p>
            <w:pPr>
              <w:widowControl/>
              <w:spacing w:line="560" w:lineRule="exact"/>
              <w:jc w:val="center"/>
              <w:rPr>
                <w:rFonts w:ascii="TimesNewRoman" w:hAnsi="TimesNewRoman" w:cs="TimesNewRoman"/>
                <w:b/>
                <w:bCs/>
                <w:kern w:val="0"/>
                <w:szCs w:val="32"/>
              </w:rPr>
            </w:pPr>
            <w:r>
              <w:rPr>
                <w:rFonts w:ascii="TimesNewRoman" w:hAnsi="TimesNewRoman" w:cs="TimesNewRoman"/>
                <w:kern w:val="0"/>
                <w:sz w:val="20"/>
              </w:rPr>
              <w:t xml:space="preserve">                                                                      单位：万元</w:t>
            </w:r>
          </w:p>
        </w:tc>
      </w:tr>
      <w:tr>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项目名称</w:t>
            </w:r>
          </w:p>
        </w:tc>
        <w:tc>
          <w:tcPr>
            <w:tcW w:w="115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政府采购品目</w:t>
            </w:r>
          </w:p>
        </w:tc>
        <w:tc>
          <w:tcPr>
            <w:tcW w:w="90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合计</w:t>
            </w:r>
          </w:p>
        </w:tc>
        <w:tc>
          <w:tcPr>
            <w:tcW w:w="1034"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一般公共预算</w:t>
            </w:r>
          </w:p>
        </w:tc>
        <w:tc>
          <w:tcPr>
            <w:tcW w:w="1147"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政府性</w:t>
            </w:r>
          </w:p>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基金预算</w:t>
            </w:r>
          </w:p>
        </w:tc>
        <w:tc>
          <w:tcPr>
            <w:tcW w:w="114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国有资本经营预算</w:t>
            </w:r>
          </w:p>
        </w:tc>
        <w:tc>
          <w:tcPr>
            <w:tcW w:w="112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财政专户管理资金</w:t>
            </w:r>
          </w:p>
        </w:tc>
        <w:tc>
          <w:tcPr>
            <w:tcW w:w="1188"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单位资金</w:t>
            </w:r>
          </w:p>
        </w:tc>
      </w:tr>
      <w:tr>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2350"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hint="eastAsia" w:ascii="TimesNewRoman" w:hAnsi="TimesNewRoman" w:cs="TimesNewRoman"/>
                <w:b/>
                <w:bCs/>
                <w:kern w:val="0"/>
                <w:sz w:val="22"/>
              </w:rPr>
              <w:t>合</w:t>
            </w:r>
            <w:r>
              <w:rPr>
                <w:rFonts w:ascii="TimesNewRoman" w:hAnsi="TimesNewRoman" w:cs="TimesNewRoman"/>
                <w:b/>
                <w:sz w:val="20"/>
              </w:rPr>
              <w:t xml:space="preserve"> 计</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bl>
    <w:p>
      <w:pPr>
        <w:spacing w:line="560" w:lineRule="exact"/>
        <w:rPr>
          <w:rFonts w:ascii="TimesNewRoman" w:hAnsi="TimesNewRoman" w:cs="TimesNewRoman"/>
          <w:kern w:val="0"/>
          <w:sz w:val="22"/>
        </w:rPr>
      </w:pPr>
      <w:r>
        <w:rPr>
          <w:rFonts w:ascii="TimesNewRoman" w:hAnsi="TimesNewRoman" w:cs="TimesNewRoman"/>
          <w:kern w:val="0"/>
          <w:sz w:val="22"/>
        </w:rPr>
        <w:t>说明“</w:t>
      </w:r>
      <w:r>
        <w:rPr>
          <w:rFonts w:hint="eastAsia" w:ascii="TimesNewRoman" w:hAnsi="TimesNewRoman" w:cs="TimesNewRoman"/>
          <w:kern w:val="0"/>
          <w:sz w:val="22"/>
        </w:rPr>
        <w:t>宿松县</w:t>
      </w:r>
      <w:r>
        <w:rPr>
          <w:rFonts w:hint="eastAsia" w:ascii="TimesNewRoman" w:hAnsi="TimesNewRoman" w:cs="TimesNewRoman"/>
          <w:kern w:val="0"/>
          <w:sz w:val="22"/>
          <w:lang w:val="en-US" w:eastAsia="zh-CN"/>
        </w:rPr>
        <w:t>总工会</w:t>
      </w:r>
      <w:r>
        <w:rPr>
          <w:rFonts w:ascii="TimesNewRoman" w:hAnsi="TimesNewRoman" w:cs="TimesNewRoman"/>
          <w:kern w:val="0"/>
          <w:sz w:val="22"/>
        </w:rPr>
        <w:t>没有使用一般公共预算拨款、政府性基金预算拨款、国有资本经营预算拨款、财政专户管理资金和单位资金安排的政府采购支出，故本表无数据”。</w:t>
      </w: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pStyle w:val="6"/>
        <w:wordWrap w:val="0"/>
        <w:adjustRightInd w:val="0"/>
        <w:snapToGrid w:val="0"/>
        <w:spacing w:line="560" w:lineRule="exact"/>
        <w:jc w:val="right"/>
        <w:rPr>
          <w:rFonts w:ascii="TimesNewRoman" w:hAnsi="TimesNewRoman" w:cs="TimesNewRoman"/>
          <w:sz w:val="20"/>
          <w:szCs w:val="20"/>
        </w:rPr>
        <w:sectPr>
          <w:pgSz w:w="11906" w:h="16838"/>
          <w:pgMar w:top="1440" w:right="1797" w:bottom="1440" w:left="1797" w:header="850" w:footer="992" w:gutter="0"/>
          <w:pgNumType w:fmt="numberInDash"/>
          <w:cols w:space="720" w:num="1"/>
          <w:docGrid w:type="linesAndChars" w:linePitch="437" w:charSpace="2555"/>
        </w:sectPr>
      </w:pPr>
    </w:p>
    <w:p>
      <w:pPr>
        <w:pStyle w:val="6"/>
        <w:wordWrap w:val="0"/>
        <w:adjustRightInd w:val="0"/>
        <w:snapToGrid w:val="0"/>
        <w:spacing w:line="560" w:lineRule="exact"/>
        <w:jc w:val="center"/>
        <w:rPr>
          <w:rFonts w:ascii="TimesNewRoman" w:hAnsi="TimesNewRoman" w:cs="TimesNewRoman"/>
          <w:sz w:val="20"/>
          <w:szCs w:val="20"/>
        </w:rPr>
      </w:pPr>
      <w:r>
        <w:rPr>
          <w:rFonts w:ascii="TimesNewRoman" w:hAnsi="TimesNewRoman" w:cs="TimesNewRoman"/>
          <w:sz w:val="20"/>
          <w:szCs w:val="20"/>
        </w:rPr>
        <w:t>部门公开表11</w:t>
      </w:r>
    </w:p>
    <w:tbl>
      <w:tblPr>
        <w:tblStyle w:val="7"/>
        <w:tblW w:w="13743" w:type="dxa"/>
        <w:jc w:val="center"/>
        <w:tblLayout w:type="fixed"/>
        <w:tblCellMar>
          <w:top w:w="0" w:type="dxa"/>
          <w:left w:w="108" w:type="dxa"/>
          <w:bottom w:w="0" w:type="dxa"/>
          <w:right w:w="108" w:type="dxa"/>
        </w:tblCellMar>
      </w:tblPr>
      <w:tblGrid>
        <w:gridCol w:w="2073"/>
        <w:gridCol w:w="1953"/>
        <w:gridCol w:w="1784"/>
        <w:gridCol w:w="1933"/>
        <w:gridCol w:w="2483"/>
        <w:gridCol w:w="1684"/>
        <w:gridCol w:w="1816"/>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7"/>
            <w:tcBorders>
              <w:top w:val="nil"/>
              <w:left w:val="nil"/>
              <w:bottom w:val="nil"/>
              <w:right w:val="nil"/>
            </w:tcBorders>
            <w:noWrap/>
            <w:vAlign w:val="center"/>
          </w:tcPr>
          <w:p>
            <w:pPr>
              <w:widowControl/>
              <w:spacing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val="en-US" w:eastAsia="zh-CN"/>
              </w:rPr>
              <w:t>总工会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年政府购买服务支出表</w:t>
            </w:r>
          </w:p>
          <w:p>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tblPrEx>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项目名称</w:t>
            </w:r>
          </w:p>
        </w:tc>
        <w:tc>
          <w:tcPr>
            <w:tcW w:w="195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一级目录名称</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二级目录名称</w:t>
            </w:r>
          </w:p>
        </w:tc>
        <w:tc>
          <w:tcPr>
            <w:tcW w:w="193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三级目录名称</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政府购买服务内容</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购买数量</w:t>
            </w:r>
          </w:p>
        </w:tc>
        <w:tc>
          <w:tcPr>
            <w:tcW w:w="183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购买金额</w:t>
            </w: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193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24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right"/>
              <w:rPr>
                <w:rFonts w:ascii="TimesNewRoman" w:hAnsi="TimesNewRoman" w:cs="TimesNewRoman"/>
                <w:sz w:val="20"/>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center"/>
          </w:tcPr>
          <w:p>
            <w:pPr>
              <w:spacing w:line="560" w:lineRule="exact"/>
              <w:jc w:val="right"/>
              <w:rPr>
                <w:rFonts w:ascii="TimesNewRoman" w:hAnsi="TimesNewRoman" w:cs="TimesNewRoman"/>
                <w:sz w:val="20"/>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p>
        </w:tc>
        <w:tc>
          <w:tcPr>
            <w:tcW w:w="195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p>
        </w:tc>
        <w:tc>
          <w:tcPr>
            <w:tcW w:w="195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r>
              <w:rPr>
                <w:rFonts w:ascii="TimesNewRoman" w:hAnsi="TimesNewRoman" w:cs="TimesNewRoman"/>
                <w:b/>
                <w:sz w:val="20"/>
              </w:rPr>
              <w:t>合计</w:t>
            </w:r>
          </w:p>
        </w:tc>
        <w:tc>
          <w:tcPr>
            <w:tcW w:w="195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r>
    </w:tbl>
    <w:p>
      <w:pPr>
        <w:spacing w:line="560" w:lineRule="exact"/>
        <w:rPr>
          <w:rFonts w:ascii="TimesNewRoman" w:hAnsi="TimesNewRoman" w:cs="TimesNewRoman"/>
          <w:kern w:val="0"/>
          <w:sz w:val="22"/>
        </w:rPr>
      </w:pPr>
      <w:r>
        <w:rPr>
          <w:rFonts w:ascii="TimesNewRoman" w:hAnsi="TimesNewRoman" w:cs="TimesNewRoman"/>
          <w:kern w:val="0"/>
          <w:sz w:val="22"/>
        </w:rPr>
        <w:t>说明“</w:t>
      </w:r>
      <w:r>
        <w:rPr>
          <w:rFonts w:hint="eastAsia" w:ascii="TimesNewRoman" w:hAnsi="TimesNewRoman" w:cs="TimesNewRoman"/>
          <w:kern w:val="0"/>
          <w:sz w:val="22"/>
        </w:rPr>
        <w:t>宿松县</w:t>
      </w:r>
      <w:r>
        <w:rPr>
          <w:rFonts w:hint="eastAsia" w:ascii="TimesNewRoman" w:hAnsi="TimesNewRoman" w:cs="TimesNewRoman"/>
          <w:kern w:val="0"/>
          <w:sz w:val="22"/>
          <w:lang w:val="en-US" w:eastAsia="zh-CN"/>
        </w:rPr>
        <w:t>总工会</w:t>
      </w:r>
      <w:r>
        <w:rPr>
          <w:rFonts w:ascii="TimesNewRoman" w:hAnsi="TimesNewRoman" w:cs="TimesNewRoman"/>
          <w:kern w:val="0"/>
          <w:sz w:val="22"/>
        </w:rPr>
        <w:t>没有安排政府购买服务支出，故本表无数据”。</w:t>
      </w:r>
    </w:p>
    <w:p>
      <w:pPr>
        <w:pStyle w:val="6"/>
        <w:adjustRightInd w:val="0"/>
        <w:snapToGrid w:val="0"/>
        <w:spacing w:line="560" w:lineRule="exact"/>
        <w:rPr>
          <w:rFonts w:ascii="TimesNewRoman" w:hAnsi="TimesNewRoman" w:cs="TimesNewRoman"/>
        </w:rPr>
      </w:pPr>
    </w:p>
    <w:p>
      <w:pPr>
        <w:pStyle w:val="6"/>
        <w:adjustRightInd w:val="0"/>
        <w:snapToGrid w:val="0"/>
        <w:spacing w:line="560" w:lineRule="exact"/>
        <w:ind w:firstLine="664" w:firstLineChars="200"/>
        <w:rPr>
          <w:rFonts w:ascii="TimesNewRoman" w:hAnsi="TimesNewRoman" w:eastAsia="楷体_GB2312" w:cs="TimesNewRoman"/>
          <w:bCs/>
          <w:sz w:val="32"/>
          <w:szCs w:val="32"/>
        </w:rPr>
      </w:pPr>
    </w:p>
    <w:p>
      <w:pPr>
        <w:pStyle w:val="6"/>
        <w:adjustRightInd w:val="0"/>
        <w:snapToGrid w:val="0"/>
        <w:spacing w:line="560" w:lineRule="exact"/>
        <w:jc w:val="center"/>
        <w:rPr>
          <w:rFonts w:ascii="TimesNewRoman" w:hAnsi="TimesNewRoman" w:eastAsia="黑体" w:cs="TimesNewRoman"/>
          <w:bCs/>
          <w:sz w:val="36"/>
          <w:szCs w:val="36"/>
        </w:rPr>
        <w:sectPr>
          <w:pgSz w:w="16838" w:h="11906" w:orient="landscape"/>
          <w:pgMar w:top="1797" w:right="1440" w:bottom="1797" w:left="1440" w:header="850" w:footer="992" w:gutter="0"/>
          <w:pgNumType w:fmt="numberInDash"/>
          <w:cols w:space="720" w:num="1"/>
          <w:docGrid w:type="linesAndChars" w:linePitch="437" w:charSpace="2555"/>
        </w:sect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第三部分 202</w:t>
      </w:r>
      <w:r>
        <w:rPr>
          <w:rFonts w:hint="eastAsia" w:ascii="TimesNewRoman" w:hAnsi="TimesNewRoman" w:eastAsia="黑体" w:cs="TimesNewRoman"/>
          <w:bCs/>
          <w:sz w:val="36"/>
          <w:szCs w:val="36"/>
        </w:rPr>
        <w:t>3</w:t>
      </w:r>
      <w:r>
        <w:rPr>
          <w:rFonts w:ascii="TimesNewRoman" w:hAnsi="TimesNewRoman" w:eastAsia="黑体" w:cs="TimesNewRoman"/>
          <w:bCs/>
          <w:sz w:val="36"/>
          <w:szCs w:val="36"/>
        </w:rPr>
        <w:t>年部门预算情况说明</w:t>
      </w:r>
    </w:p>
    <w:p>
      <w:pPr>
        <w:pStyle w:val="6"/>
        <w:adjustRightInd w:val="0"/>
        <w:snapToGrid w:val="0"/>
        <w:spacing w:line="560" w:lineRule="exact"/>
        <w:rPr>
          <w:rFonts w:ascii="TimesNewRoman" w:hAnsi="TimesNewRoman" w:eastAsia="黑体" w:cs="TimesNewRoman"/>
          <w:bCs/>
          <w:sz w:val="32"/>
          <w:szCs w:val="32"/>
        </w:rPr>
      </w:pP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一、关于202</w:t>
      </w:r>
      <w:r>
        <w:rPr>
          <w:rFonts w:hint="eastAsia" w:ascii="TimesNewRoman" w:hAnsi="TimesNewRoman" w:eastAsia="黑体" w:cs="TimesNewRoman"/>
          <w:sz w:val="32"/>
          <w:szCs w:val="32"/>
        </w:rPr>
        <w:t>3</w:t>
      </w:r>
      <w:r>
        <w:rPr>
          <w:rFonts w:ascii="TimesNewRoman" w:hAnsi="TimesNewRoman" w:eastAsia="黑体" w:cs="TimesNewRoman"/>
          <w:sz w:val="32"/>
          <w:szCs w:val="32"/>
        </w:rPr>
        <w:t>年收支总表的说明</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val="en-US" w:eastAsia="zh-CN"/>
        </w:rPr>
        <w:t>总工会</w:t>
      </w:r>
      <w:r>
        <w:rPr>
          <w:rFonts w:ascii="TimesNewRoman" w:hAnsi="TimesNewRoman" w:eastAsia="仿宋_GB2312" w:cs="TimesNewRoman"/>
          <w:sz w:val="32"/>
          <w:szCs w:val="32"/>
        </w:rPr>
        <w:t>所有收入和支出均纳入部门预算管理。</w:t>
      </w: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val="en-US" w:eastAsia="zh-CN"/>
        </w:rPr>
        <w:t>总工会</w:t>
      </w:r>
      <w:r>
        <w:rPr>
          <w:rFonts w:ascii="TimesNewRoman" w:hAnsi="TimesNewRoman" w:eastAsia="仿宋_GB2312" w:cs="TimesNewRoman"/>
          <w:sz w:val="32"/>
          <w:szCs w:val="32"/>
        </w:rPr>
        <w:t>202</w:t>
      </w:r>
      <w:r>
        <w:rPr>
          <w:rFonts w:hint="eastAsia" w:ascii="TimesNewRoman" w:hAnsi="TimesNewRoman" w:eastAsia="仿宋_GB2312" w:cs="TimesNewRoman"/>
          <w:sz w:val="32"/>
          <w:szCs w:val="32"/>
        </w:rPr>
        <w:t>3</w:t>
      </w:r>
      <w:r>
        <w:rPr>
          <w:rFonts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264.57</w:t>
      </w:r>
      <w:r>
        <w:rPr>
          <w:rFonts w:ascii="TimesNewRoman" w:hAnsi="TimesNewRoman" w:eastAsia="仿宋_GB2312" w:cs="TimesNewRoman"/>
          <w:sz w:val="32"/>
          <w:szCs w:val="32"/>
        </w:rPr>
        <w:t>万元，收入包括一般公共预算拨款收入、政府性基金预算拨款收入、国有资本经营预算拨款收入、财政专户管理资金收入、单位资金收入，支出包括：一般公共服务支出、社会保障和就业支出、卫生健康支出、住房保障支出。</w:t>
      </w:r>
    </w:p>
    <w:p>
      <w:pPr>
        <w:pStyle w:val="6"/>
        <w:adjustRightInd w:val="0"/>
        <w:snapToGrid w:val="0"/>
        <w:spacing w:line="560" w:lineRule="exact"/>
        <w:ind w:firstLine="627" w:firstLineChars="196"/>
        <w:rPr>
          <w:rFonts w:ascii="TimesNewRoman" w:hAnsi="TimesNewRoman" w:eastAsia="楷体_GB2312" w:cs="TimesNewRoman"/>
          <w:sz w:val="32"/>
          <w:szCs w:val="32"/>
        </w:rPr>
      </w:pPr>
    </w:p>
    <w:p>
      <w:pPr>
        <w:pStyle w:val="6"/>
        <w:adjustRightInd w:val="0"/>
        <w:snapToGrid w:val="0"/>
        <w:spacing w:line="560" w:lineRule="exact"/>
        <w:ind w:firstLine="627" w:firstLineChars="196"/>
        <w:rPr>
          <w:rFonts w:ascii="TimesNewRoman" w:hAnsi="TimesNewRoman" w:eastAsia="黑体" w:cs="TimesNewRoman"/>
          <w:sz w:val="32"/>
          <w:szCs w:val="32"/>
        </w:rPr>
      </w:pPr>
      <w:r>
        <w:rPr>
          <w:rFonts w:ascii="TimesNewRoman" w:hAnsi="TimesNewRoman" w:eastAsia="黑体" w:cs="TimesNewRoman"/>
          <w:sz w:val="32"/>
          <w:szCs w:val="32"/>
        </w:rPr>
        <w:t>二、关于202</w:t>
      </w:r>
      <w:r>
        <w:rPr>
          <w:rFonts w:hint="eastAsia" w:ascii="TimesNewRoman" w:hAnsi="TimesNewRoman" w:eastAsia="黑体" w:cs="TimesNewRoman"/>
          <w:sz w:val="32"/>
          <w:szCs w:val="32"/>
        </w:rPr>
        <w:t>3</w:t>
      </w:r>
      <w:r>
        <w:rPr>
          <w:rFonts w:ascii="TimesNewRoman" w:hAnsi="TimesNewRoman" w:eastAsia="黑体" w:cs="TimesNewRoman"/>
          <w:sz w:val="32"/>
          <w:szCs w:val="32"/>
        </w:rPr>
        <w:t>年收入总表的说明</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kern w:val="0"/>
          <w:szCs w:val="32"/>
        </w:rPr>
        <w:t>宿松县</w:t>
      </w:r>
      <w:r>
        <w:rPr>
          <w:rFonts w:hint="eastAsia" w:ascii="TimesNewRoman" w:hAnsi="TimesNewRoman" w:cs="TimesNewRoman"/>
          <w:kern w:val="0"/>
          <w:szCs w:val="32"/>
          <w:lang w:val="en-US" w:eastAsia="zh-CN"/>
        </w:rPr>
        <w:t>总工会</w:t>
      </w:r>
      <w:r>
        <w:rPr>
          <w:rFonts w:ascii="TimesNewRoman" w:hAnsi="TimesNewRoman" w:cs="TimesNewRoman"/>
          <w:szCs w:val="32"/>
        </w:rPr>
        <w:t>202</w:t>
      </w:r>
      <w:r>
        <w:rPr>
          <w:rFonts w:hint="eastAsia" w:ascii="TimesNewRoman" w:hAnsi="TimesNewRoman" w:cs="TimesNewRoman"/>
          <w:szCs w:val="32"/>
        </w:rPr>
        <w:t>3</w:t>
      </w:r>
      <w:r>
        <w:rPr>
          <w:rFonts w:ascii="TimesNewRoman" w:hAnsi="TimesNewRoman" w:cs="TimesNewRoman"/>
          <w:szCs w:val="32"/>
        </w:rPr>
        <w:t>年收入预算</w:t>
      </w:r>
      <w:r>
        <w:rPr>
          <w:rFonts w:hint="eastAsia" w:ascii="TimesNewRoman" w:hAnsi="TimesNewRoman" w:cs="TimesNewRoman"/>
          <w:szCs w:val="32"/>
          <w:lang w:val="en-US" w:eastAsia="zh-CN"/>
        </w:rPr>
        <w:t>264.57</w:t>
      </w:r>
      <w:r>
        <w:rPr>
          <w:rFonts w:ascii="TimesNewRoman" w:hAnsi="TimesNewRoman" w:cs="TimesNewRoman"/>
          <w:szCs w:val="32"/>
        </w:rPr>
        <w:t>万元，其中，本年收入</w:t>
      </w:r>
      <w:r>
        <w:rPr>
          <w:rFonts w:hint="eastAsia" w:ascii="TimesNewRoman" w:hAnsi="TimesNewRoman" w:cs="TimesNewRoman"/>
          <w:szCs w:val="32"/>
          <w:lang w:val="en-US" w:eastAsia="zh-CN"/>
        </w:rPr>
        <w:t>264.57</w:t>
      </w:r>
      <w:r>
        <w:rPr>
          <w:rFonts w:ascii="TimesNewRoman" w:hAnsi="TimesNewRoman" w:cs="TimesNewRoman"/>
          <w:szCs w:val="32"/>
        </w:rPr>
        <w:t>万元，上年结转</w:t>
      </w:r>
      <w:r>
        <w:rPr>
          <w:rFonts w:hint="eastAsia" w:ascii="TimesNewRoman" w:hAnsi="TimesNewRoman" w:cs="TimesNewRoman"/>
          <w:szCs w:val="32"/>
        </w:rPr>
        <w:t>收入</w:t>
      </w:r>
      <w:r>
        <w:rPr>
          <w:rFonts w:hint="eastAsia" w:ascii="TimesNewRoman" w:hAnsi="TimesNewRoman" w:cs="TimesNewRoman"/>
          <w:szCs w:val="32"/>
          <w:lang w:val="en-US" w:eastAsia="zh-CN"/>
        </w:rPr>
        <w:t>0</w:t>
      </w:r>
      <w:r>
        <w:rPr>
          <w:rFonts w:ascii="TimesNewRoman" w:hAnsi="TimesNewRoman" w:cs="TimesNewRoman"/>
          <w:szCs w:val="32"/>
        </w:rPr>
        <w:t>万元。</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（一）本年收入</w:t>
      </w:r>
      <w:r>
        <w:rPr>
          <w:rFonts w:hint="eastAsia" w:ascii="TimesNewRoman" w:hAnsi="TimesNewRoman" w:cs="TimesNewRoman"/>
          <w:szCs w:val="32"/>
          <w:lang w:val="en-US" w:eastAsia="zh-CN"/>
        </w:rPr>
        <w:t>264.57</w:t>
      </w:r>
      <w:r>
        <w:rPr>
          <w:rFonts w:ascii="TimesNewRoman" w:hAnsi="TimesNewRoman" w:cs="TimesNewRoman"/>
          <w:szCs w:val="32"/>
        </w:rPr>
        <w:t>万元，</w:t>
      </w:r>
      <w:r>
        <w:rPr>
          <w:rFonts w:hint="eastAsia" w:ascii="TimesNewRoman" w:hAnsi="TimesNewRoman" w:cs="TimesNewRoman"/>
          <w:szCs w:val="32"/>
          <w:lang w:val="en-US" w:eastAsia="zh-CN"/>
        </w:rPr>
        <w:t>收入全部为</w:t>
      </w:r>
      <w:r>
        <w:rPr>
          <w:rFonts w:ascii="TimesNewRoman" w:hAnsi="TimesNewRoman" w:cs="TimesNewRoman"/>
          <w:szCs w:val="32"/>
        </w:rPr>
        <w:t>一般公共预算拨款收入</w:t>
      </w:r>
      <w:r>
        <w:rPr>
          <w:rFonts w:hint="eastAsia" w:ascii="TimesNewRoman" w:hAnsi="TimesNewRoman" w:cs="TimesNewRoman"/>
          <w:szCs w:val="32"/>
          <w:lang w:val="en-US" w:eastAsia="zh-CN"/>
        </w:rPr>
        <w:t>264.57</w:t>
      </w:r>
      <w:r>
        <w:rPr>
          <w:rFonts w:ascii="TimesNewRoman" w:hAnsi="TimesNewRoman" w:cs="TimesNewRoman"/>
          <w:szCs w:val="32"/>
        </w:rPr>
        <w:t>万元，占</w:t>
      </w:r>
      <w:r>
        <w:rPr>
          <w:rFonts w:hint="eastAsia" w:ascii="TimesNewRoman" w:hAnsi="TimesNewRoman" w:cs="TimesNewRoman"/>
          <w:szCs w:val="32"/>
          <w:lang w:val="en-US" w:eastAsia="zh-CN"/>
        </w:rPr>
        <w:t>100</w:t>
      </w:r>
      <w:r>
        <w:rPr>
          <w:rFonts w:ascii="TimesNewRoman" w:hAnsi="TimesNewRoman" w:cs="TimesNewRoman"/>
          <w:szCs w:val="32"/>
        </w:rPr>
        <w:t>%，比202</w:t>
      </w:r>
      <w:r>
        <w:rPr>
          <w:rFonts w:hint="eastAsia" w:ascii="TimesNewRoman" w:hAnsi="TimesNewRoman" w:cs="TimesNewRoman"/>
          <w:szCs w:val="32"/>
        </w:rPr>
        <w:t>2</w:t>
      </w:r>
      <w:r>
        <w:rPr>
          <w:rFonts w:ascii="TimesNewRoman" w:hAnsi="TimesNewRoman" w:cs="TimesNewRoman"/>
          <w:szCs w:val="32"/>
        </w:rPr>
        <w:t>年预算增加</w:t>
      </w:r>
      <w:r>
        <w:rPr>
          <w:rFonts w:hint="eastAsia" w:ascii="TimesNewRoman" w:hAnsi="TimesNewRoman" w:cs="TimesNewRoman"/>
          <w:szCs w:val="32"/>
          <w:lang w:val="en-US" w:eastAsia="zh-CN"/>
        </w:rPr>
        <w:t>58.78</w:t>
      </w:r>
      <w:r>
        <w:rPr>
          <w:rFonts w:ascii="TimesNewRoman" w:hAnsi="TimesNewRoman" w:cs="TimesNewRoman"/>
          <w:szCs w:val="32"/>
        </w:rPr>
        <w:t>万元，增长</w:t>
      </w:r>
      <w:r>
        <w:rPr>
          <w:rFonts w:hint="eastAsia" w:ascii="TimesNewRoman" w:hAnsi="TimesNewRoman" w:cs="TimesNewRoman"/>
          <w:szCs w:val="32"/>
          <w:lang w:val="en-US" w:eastAsia="zh-CN"/>
        </w:rPr>
        <w:t>28.57</w:t>
      </w:r>
      <w:r>
        <w:rPr>
          <w:rFonts w:ascii="TimesNewRoman" w:hAnsi="TimesNewRoman" w:cs="TimesNewRoman"/>
          <w:szCs w:val="32"/>
        </w:rPr>
        <w:t>%，增长原</w:t>
      </w:r>
      <w:r>
        <w:rPr>
          <w:rFonts w:hint="eastAsia" w:ascii="TimesNewRoman" w:hAnsi="TimesNewRoman" w:cs="TimesNewRoman"/>
          <w:szCs w:val="32"/>
          <w:lang w:val="en-US" w:eastAsia="zh-CN"/>
        </w:rPr>
        <w:t>一</w:t>
      </w:r>
      <w:r>
        <w:rPr>
          <w:rFonts w:ascii="TimesNewRoman" w:hAnsi="TimesNewRoman" w:cs="TimesNewRoman"/>
          <w:szCs w:val="32"/>
        </w:rPr>
        <w:t>是</w:t>
      </w:r>
      <w:r>
        <w:rPr>
          <w:rFonts w:hint="eastAsia" w:ascii="TimesNewRoman" w:hAnsi="TimesNewRoman" w:cs="TimesNewRoman"/>
          <w:szCs w:val="32"/>
          <w:highlight w:val="none"/>
          <w:lang w:val="en-US" w:eastAsia="zh-CN"/>
        </w:rPr>
        <w:t>人员增加</w:t>
      </w:r>
      <w:r>
        <w:rPr>
          <w:rFonts w:ascii="TimesNewRoman" w:hAnsi="TimesNewRoman" w:cs="TimesNewRoman"/>
          <w:szCs w:val="32"/>
        </w:rPr>
        <w:t>。</w:t>
      </w:r>
    </w:p>
    <w:p>
      <w:pPr>
        <w:adjustRightInd w:val="0"/>
        <w:snapToGrid w:val="0"/>
        <w:spacing w:line="560" w:lineRule="exact"/>
        <w:ind w:firstLine="640" w:firstLineChars="200"/>
        <w:rPr>
          <w:rFonts w:hint="default" w:ascii="TimesNewRoman" w:hAnsi="TimesNewRoman" w:eastAsia="仿宋_GB2312" w:cs="TimesNewRoman"/>
          <w:szCs w:val="32"/>
          <w:lang w:val="en-US" w:eastAsia="zh-CN"/>
        </w:rPr>
      </w:pPr>
      <w:r>
        <w:rPr>
          <w:rFonts w:ascii="TimesNewRoman" w:hAnsi="TimesNewRoman" w:cs="TimesNewRoman"/>
          <w:szCs w:val="32"/>
        </w:rPr>
        <w:t>（二）上年结转</w:t>
      </w:r>
      <w:r>
        <w:rPr>
          <w:rFonts w:hint="eastAsia" w:ascii="TimesNewRoman" w:hAnsi="TimesNewRoman" w:cs="TimesNewRoman"/>
          <w:szCs w:val="32"/>
        </w:rPr>
        <w:t>收入</w:t>
      </w:r>
      <w:r>
        <w:rPr>
          <w:rFonts w:hint="eastAsia" w:ascii="TimesNewRoman" w:hAnsi="TimesNewRoman" w:cs="TimesNewRoman"/>
          <w:szCs w:val="32"/>
          <w:lang w:val="en-US" w:eastAsia="zh-CN"/>
        </w:rPr>
        <w:t>0</w:t>
      </w:r>
      <w:r>
        <w:rPr>
          <w:rFonts w:ascii="TimesNewRoman" w:hAnsi="TimesNewRoman" w:cs="TimesNewRoman"/>
          <w:szCs w:val="32"/>
        </w:rPr>
        <w:t>万元，</w:t>
      </w:r>
      <w:r>
        <w:rPr>
          <w:rFonts w:hint="eastAsia" w:ascii="TimesNewRoman" w:hAnsi="TimesNewRoman" w:cs="TimesNewRoman"/>
          <w:szCs w:val="32"/>
          <w:lang w:val="en-US" w:eastAsia="zh-CN"/>
        </w:rPr>
        <w:t>与2022年预算持平。</w:t>
      </w:r>
    </w:p>
    <w:p>
      <w:pPr>
        <w:adjustRightInd w:val="0"/>
        <w:snapToGrid w:val="0"/>
        <w:spacing w:line="560" w:lineRule="exact"/>
        <w:ind w:firstLine="640" w:firstLineChars="200"/>
        <w:rPr>
          <w:rFonts w:ascii="TimesNewRoman" w:hAnsi="TimesNewRoman" w:eastAsia="黑体" w:cs="TimesNewRoman"/>
          <w:kern w:val="0"/>
          <w:szCs w:val="32"/>
        </w:rPr>
      </w:pPr>
      <w:r>
        <w:rPr>
          <w:rFonts w:ascii="TimesNewRoman" w:hAnsi="TimesNewRoman" w:eastAsia="黑体" w:cs="TimesNewRoman"/>
          <w:kern w:val="0"/>
          <w:szCs w:val="32"/>
        </w:rPr>
        <w:t>三、关于2023年支出总表的说明</w:t>
      </w:r>
    </w:p>
    <w:p>
      <w:pPr>
        <w:adjustRightInd w:val="0"/>
        <w:snapToGrid w:val="0"/>
        <w:spacing w:line="560" w:lineRule="exact"/>
        <w:ind w:firstLine="640" w:firstLineChars="200"/>
        <w:rPr>
          <w:rFonts w:hint="eastAsia" w:ascii="TimesNewRoman" w:hAnsi="TimesNewRoman" w:eastAsia="仿宋_GB2312" w:cs="TimesNewRoman"/>
          <w:szCs w:val="32"/>
          <w:highlight w:val="none"/>
          <w:lang w:eastAsia="zh-CN"/>
        </w:rPr>
      </w:pPr>
      <w:r>
        <w:rPr>
          <w:rFonts w:hint="eastAsia" w:ascii="TimesNewRoman" w:hAnsi="TimesNewRoman" w:cs="TimesNewRoman"/>
          <w:szCs w:val="32"/>
        </w:rPr>
        <w:t>宿松县</w:t>
      </w:r>
      <w:r>
        <w:rPr>
          <w:rFonts w:hint="eastAsia" w:ascii="TimesNewRoman" w:hAnsi="TimesNewRoman" w:cs="TimesNewRoman"/>
          <w:szCs w:val="32"/>
          <w:lang w:val="en-US" w:eastAsia="zh-CN"/>
        </w:rPr>
        <w:t>总工会</w:t>
      </w:r>
      <w:r>
        <w:rPr>
          <w:rFonts w:ascii="TimesNewRoman" w:hAnsi="TimesNewRoman" w:cs="TimesNewRoman"/>
          <w:szCs w:val="32"/>
        </w:rPr>
        <w:t>2023年支出预算</w:t>
      </w:r>
      <w:r>
        <w:rPr>
          <w:rFonts w:hint="eastAsia" w:ascii="TimesNewRoman" w:hAnsi="TimesNewRoman" w:cs="TimesNewRoman"/>
          <w:szCs w:val="32"/>
          <w:lang w:val="en-US" w:eastAsia="zh-CN"/>
        </w:rPr>
        <w:t>264.57</w:t>
      </w:r>
      <w:r>
        <w:rPr>
          <w:rFonts w:ascii="TimesNewRoman" w:hAnsi="TimesNewRoman" w:cs="TimesNewRoman"/>
          <w:szCs w:val="32"/>
        </w:rPr>
        <w:t>万元，比2022年预算增加</w:t>
      </w:r>
      <w:r>
        <w:rPr>
          <w:rFonts w:hint="eastAsia" w:ascii="TimesNewRoman" w:hAnsi="TimesNewRoman" w:cs="TimesNewRoman"/>
          <w:szCs w:val="32"/>
          <w:lang w:val="en-US" w:eastAsia="zh-CN"/>
        </w:rPr>
        <w:t>58.78</w:t>
      </w:r>
      <w:r>
        <w:rPr>
          <w:rFonts w:ascii="TimesNewRoman" w:hAnsi="TimesNewRoman" w:cs="TimesNewRoman"/>
          <w:szCs w:val="32"/>
        </w:rPr>
        <w:t>万元，增长</w:t>
      </w:r>
      <w:r>
        <w:rPr>
          <w:rFonts w:hint="eastAsia" w:ascii="TimesNewRoman" w:hAnsi="TimesNewRoman" w:cs="TimesNewRoman"/>
          <w:szCs w:val="32"/>
          <w:lang w:val="en-US" w:eastAsia="zh-CN"/>
        </w:rPr>
        <w:t>28.57</w:t>
      </w:r>
      <w:r>
        <w:rPr>
          <w:rFonts w:ascii="TimesNewRoman" w:hAnsi="TimesNewRoman" w:cs="TimesNewRoman"/>
          <w:szCs w:val="32"/>
        </w:rPr>
        <w:t>%，增长原因主要是</w:t>
      </w:r>
      <w:r>
        <w:rPr>
          <w:rFonts w:hint="eastAsia" w:ascii="TimesNewRoman" w:hAnsi="TimesNewRoman" w:cs="TimesNewRoman"/>
          <w:szCs w:val="32"/>
          <w:highlight w:val="none"/>
          <w:lang w:val="en-US" w:eastAsia="zh-CN"/>
        </w:rPr>
        <w:t>人员增加</w:t>
      </w:r>
      <w:r>
        <w:rPr>
          <w:rFonts w:ascii="TimesNewRoman" w:hAnsi="TimesNewRoman" w:cs="TimesNewRoman"/>
          <w:szCs w:val="32"/>
          <w:highlight w:val="none"/>
        </w:rPr>
        <w:t>。其中，基本支出</w:t>
      </w:r>
      <w:r>
        <w:rPr>
          <w:rFonts w:hint="eastAsia" w:ascii="TimesNewRoman" w:hAnsi="TimesNewRoman" w:cs="TimesNewRoman"/>
          <w:szCs w:val="32"/>
          <w:highlight w:val="none"/>
          <w:lang w:val="en-US" w:eastAsia="zh-CN"/>
        </w:rPr>
        <w:t>119.2</w:t>
      </w:r>
      <w:r>
        <w:rPr>
          <w:rFonts w:ascii="TimesNewRoman" w:hAnsi="TimesNewRoman" w:cs="TimesNewRoman"/>
          <w:szCs w:val="32"/>
          <w:highlight w:val="none"/>
        </w:rPr>
        <w:t>万元，占</w:t>
      </w:r>
      <w:r>
        <w:rPr>
          <w:rFonts w:hint="eastAsia" w:ascii="TimesNewRoman" w:hAnsi="TimesNewRoman" w:cs="TimesNewRoman"/>
          <w:szCs w:val="32"/>
          <w:highlight w:val="none"/>
          <w:lang w:val="en-US" w:eastAsia="zh-CN"/>
        </w:rPr>
        <w:t>45.05</w:t>
      </w:r>
      <w:r>
        <w:rPr>
          <w:rFonts w:ascii="TimesNewRoman" w:hAnsi="TimesNewRoman" w:cs="TimesNewRoman"/>
          <w:szCs w:val="32"/>
          <w:highlight w:val="none"/>
        </w:rPr>
        <w:t>%，主要用于保障</w:t>
      </w:r>
      <w:r>
        <w:rPr>
          <w:rFonts w:hint="eastAsia" w:ascii="TimesNewRoman" w:hAnsi="TimesNewRoman" w:cs="TimesNewRoman"/>
          <w:szCs w:val="32"/>
          <w:highlight w:val="none"/>
          <w:lang w:val="en-US" w:eastAsia="zh-CN"/>
        </w:rPr>
        <w:t>机关在职及退休人员工资福利</w:t>
      </w:r>
      <w:r>
        <w:rPr>
          <w:rFonts w:ascii="TimesNewRoman" w:hAnsi="TimesNewRoman" w:cs="TimesNewRoman"/>
          <w:szCs w:val="32"/>
          <w:highlight w:val="none"/>
        </w:rPr>
        <w:t>；项目支出</w:t>
      </w:r>
      <w:r>
        <w:rPr>
          <w:rFonts w:hint="eastAsia" w:ascii="TimesNewRoman" w:hAnsi="TimesNewRoman" w:cs="TimesNewRoman"/>
          <w:szCs w:val="32"/>
          <w:highlight w:val="none"/>
          <w:lang w:val="en-US" w:eastAsia="zh-CN"/>
        </w:rPr>
        <w:t>145.37</w:t>
      </w:r>
      <w:r>
        <w:rPr>
          <w:rFonts w:ascii="TimesNewRoman" w:hAnsi="TimesNewRoman" w:cs="TimesNewRoman"/>
          <w:szCs w:val="32"/>
          <w:highlight w:val="none"/>
        </w:rPr>
        <w:t>万元，占</w:t>
      </w:r>
      <w:r>
        <w:rPr>
          <w:rFonts w:hint="eastAsia" w:ascii="TimesNewRoman" w:hAnsi="TimesNewRoman" w:cs="TimesNewRoman"/>
          <w:szCs w:val="32"/>
          <w:highlight w:val="none"/>
          <w:lang w:val="en-US" w:eastAsia="zh-CN"/>
        </w:rPr>
        <w:t>54.95</w:t>
      </w:r>
      <w:r>
        <w:rPr>
          <w:rFonts w:ascii="TimesNewRoman" w:hAnsi="TimesNewRoman" w:cs="TimesNewRoman"/>
          <w:szCs w:val="32"/>
          <w:highlight w:val="none"/>
        </w:rPr>
        <w:t>%，主要用于</w:t>
      </w:r>
      <w:r>
        <w:rPr>
          <w:rFonts w:hint="eastAsia" w:ascii="TimesNewRoman" w:hAnsi="TimesNewRoman" w:cs="TimesNewRoman"/>
          <w:szCs w:val="32"/>
          <w:highlight w:val="none"/>
          <w:lang w:val="en-US" w:eastAsia="zh-CN"/>
        </w:rPr>
        <w:t>保障机构日常运转、完成</w:t>
      </w:r>
      <w:r>
        <w:rPr>
          <w:rFonts w:ascii="TimesNewRoman" w:hAnsi="TimesNewRoman" w:cs="TimesNewRoman"/>
          <w:szCs w:val="32"/>
          <w:highlight w:val="none"/>
        </w:rPr>
        <w:t>日常工作任务</w:t>
      </w:r>
      <w:r>
        <w:rPr>
          <w:rFonts w:hint="eastAsia" w:ascii="TimesNewRoman" w:hAnsi="TimesNewRoman" w:cs="TimesNewRoman"/>
          <w:szCs w:val="32"/>
          <w:highlight w:val="none"/>
          <w:lang w:eastAsia="zh-CN"/>
        </w:rPr>
        <w:t>。</w:t>
      </w:r>
    </w:p>
    <w:p>
      <w:pPr>
        <w:adjustRightInd w:val="0"/>
        <w:snapToGrid w:val="0"/>
        <w:spacing w:line="560" w:lineRule="exact"/>
        <w:ind w:firstLine="640" w:firstLineChars="200"/>
        <w:rPr>
          <w:rFonts w:ascii="TimesNewRoman" w:hAnsi="TimesNewRoman" w:eastAsia="黑体" w:cs="TimesNewRoman"/>
          <w:kern w:val="0"/>
          <w:szCs w:val="32"/>
        </w:rPr>
      </w:pPr>
      <w:r>
        <w:rPr>
          <w:rFonts w:ascii="TimesNewRoman" w:hAnsi="TimesNewRoman" w:eastAsia="黑体" w:cs="TimesNewRoman"/>
          <w:kern w:val="0"/>
          <w:szCs w:val="32"/>
        </w:rPr>
        <w:t>四、关于2023年财政拨款收支总表的说明</w:t>
      </w:r>
    </w:p>
    <w:p>
      <w:pPr>
        <w:pStyle w:val="6"/>
        <w:adjustRightInd w:val="0"/>
        <w:snapToGrid w:val="0"/>
        <w:spacing w:line="560" w:lineRule="exact"/>
        <w:ind w:firstLine="640" w:firstLineChars="200"/>
        <w:rPr>
          <w:rFonts w:ascii="TimesNewRoman" w:hAnsi="TimesNewRoman" w:eastAsia="仿宋_GB2312" w:cs="TimesNewRoman"/>
          <w:sz w:val="32"/>
          <w:szCs w:val="32"/>
          <w:highlight w:val="none"/>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val="en-US" w:eastAsia="zh-CN"/>
        </w:rPr>
        <w:t>总工会</w:t>
      </w:r>
      <w:r>
        <w:rPr>
          <w:rFonts w:ascii="TimesNewRoman" w:hAnsi="TimesNewRoman" w:eastAsia="仿宋_GB2312" w:cs="TimesNewRoman"/>
          <w:sz w:val="32"/>
          <w:szCs w:val="32"/>
        </w:rPr>
        <w:t>2023年财政拨款收支预算</w:t>
      </w:r>
      <w:r>
        <w:rPr>
          <w:rFonts w:hint="eastAsia" w:ascii="TimesNewRoman" w:hAnsi="TimesNewRoman" w:eastAsia="仿宋_GB2312" w:cs="TimesNewRoman"/>
          <w:sz w:val="32"/>
          <w:szCs w:val="32"/>
          <w:lang w:val="en-US" w:eastAsia="zh-CN"/>
        </w:rPr>
        <w:t>264.57</w:t>
      </w:r>
      <w:r>
        <w:rPr>
          <w:rFonts w:ascii="TimesNewRoman" w:hAnsi="TimesNewRoman" w:eastAsia="仿宋_GB2312" w:cs="TimesNewRoman"/>
          <w:sz w:val="32"/>
          <w:szCs w:val="32"/>
        </w:rPr>
        <w:t>万元。收入按资金来源分为：一般公共预算拨款</w:t>
      </w:r>
      <w:r>
        <w:rPr>
          <w:rFonts w:hint="eastAsia" w:ascii="TimesNewRoman" w:hAnsi="TimesNewRoman" w:eastAsia="仿宋_GB2312" w:cs="TimesNewRoman"/>
          <w:sz w:val="32"/>
          <w:szCs w:val="32"/>
          <w:lang w:val="en-US" w:eastAsia="zh-CN"/>
        </w:rPr>
        <w:t>264.57</w:t>
      </w:r>
      <w:r>
        <w:rPr>
          <w:rFonts w:ascii="TimesNewRoman" w:hAnsi="TimesNewRoman" w:eastAsia="仿宋_GB2312" w:cs="TimesNewRoman"/>
          <w:sz w:val="32"/>
          <w:szCs w:val="32"/>
        </w:rPr>
        <w:t>万元；按资金年度分为：本年财政拨款收入</w:t>
      </w:r>
      <w:r>
        <w:rPr>
          <w:rFonts w:hint="eastAsia" w:ascii="TimesNewRoman" w:hAnsi="TimesNewRoman" w:eastAsia="仿宋_GB2312" w:cs="TimesNewRoman"/>
          <w:sz w:val="32"/>
          <w:szCs w:val="32"/>
          <w:lang w:val="en-US" w:eastAsia="zh-CN"/>
        </w:rPr>
        <w:t>264.57</w:t>
      </w:r>
      <w:r>
        <w:rPr>
          <w:rFonts w:ascii="TimesNewRoman" w:hAnsi="TimesNewRoman" w:eastAsia="仿宋_GB2312" w:cs="TimesNewRoman"/>
          <w:sz w:val="32"/>
          <w:szCs w:val="32"/>
        </w:rPr>
        <w:t>万元，上年结转收入</w:t>
      </w:r>
      <w:r>
        <w:rPr>
          <w:rFonts w:hint="eastAsia" w:ascii="TimesNewRoman" w:hAnsi="TimesNewRoman" w:eastAsia="仿宋_GB2312" w:cs="TimesNewRoman"/>
          <w:sz w:val="32"/>
          <w:szCs w:val="32"/>
          <w:lang w:val="en-US" w:eastAsia="zh-CN"/>
        </w:rPr>
        <w:t>0</w:t>
      </w:r>
      <w:r>
        <w:rPr>
          <w:rFonts w:ascii="TimesNewRoman" w:hAnsi="TimesNewRoman" w:eastAsia="仿宋_GB2312" w:cs="TimesNewRoman"/>
          <w:sz w:val="32"/>
          <w:szCs w:val="32"/>
        </w:rPr>
        <w:t>万元。支出按功能分类分为：</w:t>
      </w:r>
      <w:r>
        <w:rPr>
          <w:rFonts w:ascii="TimesNewRoman" w:hAnsi="TimesNewRoman" w:eastAsia="仿宋_GB2312" w:cs="TimesNewRoman"/>
          <w:sz w:val="32"/>
          <w:szCs w:val="32"/>
          <w:highlight w:val="none"/>
        </w:rPr>
        <w:t>一般公共服务支出</w:t>
      </w:r>
      <w:r>
        <w:rPr>
          <w:rFonts w:hint="eastAsia" w:ascii="TimesNewRoman" w:hAnsi="TimesNewRoman" w:eastAsia="仿宋_GB2312" w:cs="TimesNewRoman"/>
          <w:sz w:val="32"/>
          <w:szCs w:val="32"/>
          <w:highlight w:val="none"/>
          <w:lang w:val="en-US" w:eastAsia="zh-CN"/>
        </w:rPr>
        <w:t>210.93</w:t>
      </w:r>
      <w:r>
        <w:rPr>
          <w:rFonts w:ascii="TimesNewRoman" w:hAnsi="TimesNewRoman" w:eastAsia="仿宋_GB2312" w:cs="TimesNewRoman"/>
          <w:sz w:val="32"/>
          <w:szCs w:val="32"/>
          <w:highlight w:val="none"/>
        </w:rPr>
        <w:t>万元，占</w:t>
      </w:r>
      <w:r>
        <w:rPr>
          <w:rFonts w:hint="eastAsia" w:ascii="TimesNewRoman" w:hAnsi="TimesNewRoman" w:eastAsia="仿宋_GB2312" w:cs="TimesNewRoman"/>
          <w:sz w:val="32"/>
          <w:szCs w:val="32"/>
          <w:highlight w:val="none"/>
          <w:lang w:val="en-US" w:eastAsia="zh-CN"/>
        </w:rPr>
        <w:t>79.73</w:t>
      </w:r>
      <w:r>
        <w:rPr>
          <w:rFonts w:ascii="TimesNewRoman" w:hAnsi="TimesNewRoman" w:eastAsia="仿宋_GB2312" w:cs="TimesNewRoman"/>
          <w:sz w:val="32"/>
          <w:szCs w:val="32"/>
          <w:highlight w:val="none"/>
        </w:rPr>
        <w:t>%；社会保障和就业支出</w:t>
      </w:r>
      <w:r>
        <w:rPr>
          <w:rFonts w:hint="eastAsia" w:ascii="TimesNewRoman" w:hAnsi="TimesNewRoman" w:eastAsia="仿宋_GB2312" w:cs="TimesNewRoman"/>
          <w:sz w:val="32"/>
          <w:szCs w:val="32"/>
          <w:highlight w:val="none"/>
          <w:lang w:val="en-US" w:eastAsia="zh-CN"/>
        </w:rPr>
        <w:t>43.49</w:t>
      </w:r>
      <w:r>
        <w:rPr>
          <w:rFonts w:ascii="TimesNewRoman" w:hAnsi="TimesNewRoman" w:eastAsia="仿宋_GB2312" w:cs="TimesNewRoman"/>
          <w:sz w:val="32"/>
          <w:szCs w:val="32"/>
          <w:highlight w:val="none"/>
        </w:rPr>
        <w:t>万元，占</w:t>
      </w:r>
      <w:r>
        <w:rPr>
          <w:rFonts w:hint="eastAsia" w:ascii="TimesNewRoman" w:hAnsi="TimesNewRoman" w:eastAsia="仿宋_GB2312" w:cs="TimesNewRoman"/>
          <w:sz w:val="32"/>
          <w:szCs w:val="32"/>
          <w:highlight w:val="none"/>
          <w:lang w:val="en-US" w:eastAsia="zh-CN"/>
        </w:rPr>
        <w:t>16.44</w:t>
      </w:r>
      <w:r>
        <w:rPr>
          <w:rFonts w:ascii="TimesNewRoman" w:hAnsi="TimesNewRoman" w:eastAsia="仿宋_GB2312" w:cs="TimesNewRoman"/>
          <w:sz w:val="32"/>
          <w:szCs w:val="32"/>
          <w:highlight w:val="none"/>
        </w:rPr>
        <w:t>%；卫生健康支出</w:t>
      </w:r>
      <w:r>
        <w:rPr>
          <w:rFonts w:hint="eastAsia" w:ascii="TimesNewRoman" w:hAnsi="TimesNewRoman" w:eastAsia="仿宋_GB2312" w:cs="TimesNewRoman"/>
          <w:sz w:val="32"/>
          <w:szCs w:val="32"/>
          <w:highlight w:val="none"/>
          <w:lang w:val="en-US" w:eastAsia="zh-CN"/>
        </w:rPr>
        <w:t>2.9</w:t>
      </w:r>
      <w:r>
        <w:rPr>
          <w:rFonts w:ascii="TimesNewRoman" w:hAnsi="TimesNewRoman" w:eastAsia="仿宋_GB2312" w:cs="TimesNewRoman"/>
          <w:sz w:val="32"/>
          <w:szCs w:val="32"/>
          <w:highlight w:val="none"/>
        </w:rPr>
        <w:t>万元，占</w:t>
      </w:r>
      <w:r>
        <w:rPr>
          <w:rFonts w:hint="eastAsia" w:ascii="TimesNewRoman" w:hAnsi="TimesNewRoman" w:eastAsia="仿宋_GB2312" w:cs="TimesNewRoman"/>
          <w:sz w:val="32"/>
          <w:szCs w:val="32"/>
          <w:highlight w:val="none"/>
          <w:lang w:val="en-US" w:eastAsia="zh-CN"/>
        </w:rPr>
        <w:t>1.1</w:t>
      </w:r>
      <w:r>
        <w:rPr>
          <w:rFonts w:ascii="TimesNewRoman" w:hAnsi="TimesNewRoman" w:eastAsia="仿宋_GB2312" w:cs="TimesNewRoman"/>
          <w:sz w:val="32"/>
          <w:szCs w:val="32"/>
          <w:highlight w:val="none"/>
        </w:rPr>
        <w:t>%；住房保障支出</w:t>
      </w:r>
      <w:r>
        <w:rPr>
          <w:rFonts w:hint="eastAsia" w:ascii="TimesNewRoman" w:hAnsi="TimesNewRoman" w:eastAsia="仿宋_GB2312" w:cs="TimesNewRoman"/>
          <w:sz w:val="32"/>
          <w:szCs w:val="32"/>
          <w:highlight w:val="none"/>
          <w:lang w:val="en-US" w:eastAsia="zh-CN"/>
        </w:rPr>
        <w:t>7.25</w:t>
      </w:r>
      <w:r>
        <w:rPr>
          <w:rFonts w:ascii="TimesNewRoman" w:hAnsi="TimesNewRoman" w:eastAsia="仿宋_GB2312" w:cs="TimesNewRoman"/>
          <w:sz w:val="32"/>
          <w:szCs w:val="32"/>
          <w:highlight w:val="none"/>
        </w:rPr>
        <w:t>万元，占</w:t>
      </w:r>
      <w:r>
        <w:rPr>
          <w:rFonts w:hint="eastAsia" w:ascii="TimesNewRoman" w:hAnsi="TimesNewRoman" w:eastAsia="仿宋_GB2312" w:cs="TimesNewRoman"/>
          <w:sz w:val="32"/>
          <w:szCs w:val="32"/>
          <w:highlight w:val="none"/>
          <w:lang w:val="en-US" w:eastAsia="zh-CN"/>
        </w:rPr>
        <w:t>2.7</w:t>
      </w:r>
      <w:r>
        <w:rPr>
          <w:rFonts w:ascii="TimesNewRoman" w:hAnsi="TimesNewRoman" w:eastAsia="仿宋_GB2312" w:cs="TimesNewRoman"/>
          <w:sz w:val="32"/>
          <w:szCs w:val="32"/>
          <w:highlight w:val="none"/>
        </w:rPr>
        <w:t>%。</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五、关于2023年一般公共预算支出表的说明</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（一）一般公共预算支出规模变化情况。</w:t>
      </w:r>
    </w:p>
    <w:p>
      <w:pPr>
        <w:pStyle w:val="6"/>
        <w:adjustRightInd w:val="0"/>
        <w:snapToGrid w:val="0"/>
        <w:spacing w:line="560" w:lineRule="exact"/>
        <w:ind w:firstLine="627" w:firstLineChars="196"/>
        <w:rPr>
          <w:rFonts w:ascii="TimesNewRoman" w:hAnsi="TimesNewRoman" w:eastAsia="仿宋_GB2312" w:cs="TimesNewRoman"/>
          <w:sz w:val="32"/>
          <w:szCs w:val="32"/>
          <w:highlight w:val="yellow"/>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val="en-US" w:eastAsia="zh-CN"/>
        </w:rPr>
        <w:t>总工会</w:t>
      </w:r>
      <w:r>
        <w:rPr>
          <w:rFonts w:ascii="TimesNewRoman" w:hAnsi="TimesNewRoman" w:eastAsia="仿宋_GB2312" w:cs="TimesNewRoman"/>
          <w:sz w:val="32"/>
          <w:szCs w:val="32"/>
        </w:rPr>
        <w:t>2023年一般公共预算支出</w:t>
      </w:r>
      <w:r>
        <w:rPr>
          <w:rFonts w:hint="eastAsia" w:ascii="TimesNewRoman" w:hAnsi="TimesNewRoman" w:eastAsia="仿宋_GB2312" w:cs="TimesNewRoman"/>
          <w:sz w:val="32"/>
          <w:szCs w:val="32"/>
          <w:lang w:val="en-US" w:eastAsia="zh-CN"/>
        </w:rPr>
        <w:t>264.57</w:t>
      </w:r>
      <w:r>
        <w:rPr>
          <w:rFonts w:ascii="TimesNewRoman" w:hAnsi="TimesNewRoman" w:eastAsia="仿宋_GB2312" w:cs="TimesNewRoman"/>
          <w:sz w:val="32"/>
          <w:szCs w:val="32"/>
        </w:rPr>
        <w:t>万元，比2022年预算增加</w:t>
      </w:r>
      <w:r>
        <w:rPr>
          <w:rFonts w:hint="eastAsia" w:ascii="TimesNewRoman" w:hAnsi="TimesNewRoman" w:eastAsia="仿宋_GB2312" w:cs="TimesNewRoman"/>
          <w:sz w:val="32"/>
          <w:szCs w:val="32"/>
          <w:lang w:val="en-US" w:eastAsia="zh-CN"/>
        </w:rPr>
        <w:t>58.78</w:t>
      </w:r>
      <w:r>
        <w:rPr>
          <w:rFonts w:ascii="TimesNewRoman" w:hAnsi="TimesNewRoman" w:eastAsia="仿宋_GB2312" w:cs="TimesNewRoman"/>
          <w:sz w:val="32"/>
          <w:szCs w:val="32"/>
        </w:rPr>
        <w:t>万元，增长</w:t>
      </w:r>
      <w:r>
        <w:rPr>
          <w:rFonts w:hint="eastAsia" w:ascii="TimesNewRoman" w:hAnsi="TimesNewRoman" w:eastAsia="仿宋_GB2312" w:cs="TimesNewRoman"/>
          <w:sz w:val="32"/>
          <w:szCs w:val="32"/>
          <w:lang w:val="en-US" w:eastAsia="zh-CN"/>
        </w:rPr>
        <w:t>28.57</w:t>
      </w:r>
      <w:r>
        <w:rPr>
          <w:rFonts w:ascii="TimesNewRoman" w:hAnsi="TimesNewRoman" w:eastAsia="仿宋_GB2312" w:cs="TimesNewRoman"/>
          <w:sz w:val="32"/>
          <w:szCs w:val="32"/>
        </w:rPr>
        <w:t>%，</w:t>
      </w:r>
      <w:r>
        <w:rPr>
          <w:rFonts w:ascii="TimesNewRoman" w:hAnsi="TimesNewRoman" w:eastAsia="仿宋_GB2312" w:cs="TimesNewRoman"/>
          <w:sz w:val="32"/>
          <w:szCs w:val="32"/>
          <w:highlight w:val="none"/>
        </w:rPr>
        <w:t>主要原因是</w:t>
      </w:r>
      <w:r>
        <w:rPr>
          <w:rFonts w:hint="eastAsia" w:ascii="TimesNewRoman" w:hAnsi="TimesNewRoman" w:eastAsia="仿宋_GB2312" w:cs="TimesNewRoman"/>
          <w:sz w:val="32"/>
          <w:szCs w:val="32"/>
          <w:highlight w:val="none"/>
          <w:lang w:val="en-US" w:eastAsia="zh-CN"/>
        </w:rPr>
        <w:t>人员的增加</w:t>
      </w:r>
      <w:r>
        <w:rPr>
          <w:rFonts w:ascii="TimesNewRoman" w:hAnsi="TimesNewRoman" w:eastAsia="仿宋_GB2312" w:cs="TimesNewRoman"/>
          <w:sz w:val="32"/>
          <w:szCs w:val="32"/>
          <w:highlight w:val="none"/>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（二）一般公共预算支出结构情况。</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仿宋_GB2312" w:cs="TimesNewRoman"/>
          <w:sz w:val="32"/>
          <w:szCs w:val="32"/>
        </w:rPr>
        <w:t>一般公共服务支出</w:t>
      </w:r>
      <w:r>
        <w:rPr>
          <w:rFonts w:hint="eastAsia" w:ascii="TimesNewRoman" w:hAnsi="TimesNewRoman" w:eastAsia="仿宋_GB2312" w:cs="TimesNewRoman"/>
          <w:sz w:val="32"/>
          <w:szCs w:val="32"/>
          <w:lang w:val="en-US" w:eastAsia="zh-CN"/>
        </w:rPr>
        <w:t>210.93</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79.73</w:t>
      </w:r>
      <w:r>
        <w:rPr>
          <w:rFonts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43.49</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16.44</w:t>
      </w:r>
      <w:r>
        <w:rPr>
          <w:rFonts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2.9</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1.1</w:t>
      </w:r>
      <w:r>
        <w:rPr>
          <w:rFonts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7.25</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2.74</w:t>
      </w:r>
      <w:r>
        <w:rPr>
          <w:rFonts w:ascii="TimesNewRoman" w:hAnsi="TimesNewRoman" w:eastAsia="仿宋_GB2312" w:cs="TimesNewRoman"/>
          <w:sz w:val="32"/>
          <w:szCs w:val="32"/>
        </w:rPr>
        <w:t>%。</w:t>
      </w:r>
    </w:p>
    <w:p>
      <w:pPr>
        <w:adjustRightInd w:val="0"/>
        <w:snapToGrid w:val="0"/>
        <w:spacing w:line="560" w:lineRule="exact"/>
        <w:ind w:firstLine="643" w:firstLineChars="200"/>
        <w:rPr>
          <w:rFonts w:ascii="TimesNewRoman" w:hAnsi="TimesNewRoman" w:eastAsia="楷体_GB2312" w:cs="TimesNewRoman"/>
          <w:b/>
          <w:szCs w:val="32"/>
        </w:rPr>
      </w:pPr>
      <w:r>
        <w:rPr>
          <w:rFonts w:ascii="TimesNewRoman" w:hAnsi="TimesNewRoman" w:eastAsia="楷体_GB2312" w:cs="TimesNewRoman"/>
          <w:b/>
          <w:szCs w:val="32"/>
        </w:rPr>
        <w:t>（三）一般公共预算支出具体使用情况。</w:t>
      </w:r>
    </w:p>
    <w:p>
      <w:pPr>
        <w:adjustRightInd w:val="0"/>
        <w:snapToGrid w:val="0"/>
        <w:spacing w:line="560" w:lineRule="exact"/>
        <w:ind w:firstLine="643" w:firstLineChars="200"/>
        <w:rPr>
          <w:rFonts w:ascii="TimesNewRoman" w:hAnsi="TimesNewRoman" w:cs="TimesNewRoman"/>
          <w:szCs w:val="32"/>
        </w:rPr>
      </w:pPr>
      <w:r>
        <w:rPr>
          <w:rFonts w:ascii="TimesNewRoman" w:hAnsi="TimesNewRoman" w:cs="TimesNewRoman"/>
          <w:b/>
          <w:szCs w:val="32"/>
        </w:rPr>
        <w:t>1.一般公共服务支出（类）</w:t>
      </w:r>
      <w:r>
        <w:rPr>
          <w:rFonts w:hint="eastAsia" w:ascii="TimesNewRoman" w:hAnsi="TimesNewRoman" w:cs="TimesNewRoman"/>
          <w:b/>
          <w:szCs w:val="32"/>
          <w:lang w:val="en-US" w:eastAsia="zh-CN"/>
        </w:rPr>
        <w:t>群众团体事务</w:t>
      </w:r>
      <w:r>
        <w:rPr>
          <w:rFonts w:ascii="TimesNewRoman" w:hAnsi="TimesNewRoman" w:cs="TimesNewRoman"/>
          <w:b/>
          <w:szCs w:val="32"/>
        </w:rPr>
        <w:t>（款）</w:t>
      </w:r>
      <w:r>
        <w:rPr>
          <w:rFonts w:hint="eastAsia" w:ascii="TimesNewRoman" w:hAnsi="TimesNewRoman" w:cs="TimesNewRoman"/>
          <w:b/>
          <w:szCs w:val="32"/>
          <w:lang w:val="en-US" w:eastAsia="zh-CN"/>
        </w:rPr>
        <w:t>其他群众团体事务支出、工会事务</w:t>
      </w:r>
      <w:r>
        <w:rPr>
          <w:rFonts w:ascii="TimesNewRoman" w:hAnsi="TimesNewRoman" w:cs="TimesNewRoman"/>
          <w:b/>
          <w:szCs w:val="32"/>
        </w:rPr>
        <w:t>（项）</w:t>
      </w:r>
      <w:r>
        <w:rPr>
          <w:rFonts w:ascii="TimesNewRoman" w:hAnsi="TimesNewRoman" w:cs="TimesNewRoman"/>
          <w:szCs w:val="32"/>
        </w:rPr>
        <w:t>2023年预算</w:t>
      </w:r>
      <w:r>
        <w:rPr>
          <w:rFonts w:hint="eastAsia" w:ascii="TimesNewRoman" w:hAnsi="TimesNewRoman" w:cs="TimesNewRoman"/>
          <w:szCs w:val="32"/>
          <w:lang w:val="en-US" w:eastAsia="zh-CN"/>
        </w:rPr>
        <w:t>210.93</w:t>
      </w:r>
      <w:r>
        <w:rPr>
          <w:rFonts w:ascii="TimesNewRoman" w:hAnsi="TimesNewRoman" w:cs="TimesNewRoman"/>
          <w:szCs w:val="32"/>
        </w:rPr>
        <w:t>万元，比2022年预算增加</w:t>
      </w:r>
      <w:r>
        <w:rPr>
          <w:rFonts w:hint="eastAsia" w:ascii="TimesNewRoman" w:hAnsi="TimesNewRoman" w:cs="TimesNewRoman"/>
          <w:szCs w:val="32"/>
          <w:lang w:val="en-US" w:eastAsia="zh-CN"/>
        </w:rPr>
        <w:t>26.79</w:t>
      </w:r>
      <w:r>
        <w:rPr>
          <w:rFonts w:ascii="TimesNewRoman" w:hAnsi="TimesNewRoman" w:cs="TimesNewRoman"/>
          <w:szCs w:val="32"/>
        </w:rPr>
        <w:t>万元，增长</w:t>
      </w:r>
      <w:r>
        <w:rPr>
          <w:rFonts w:hint="eastAsia" w:ascii="TimesNewRoman" w:hAnsi="TimesNewRoman" w:cs="TimesNewRoman"/>
          <w:szCs w:val="32"/>
          <w:lang w:val="en-US" w:eastAsia="zh-CN"/>
        </w:rPr>
        <w:t>14.55</w:t>
      </w:r>
      <w:r>
        <w:rPr>
          <w:rFonts w:ascii="TimesNewRoman" w:hAnsi="TimesNewRoman" w:cs="TimesNewRoman"/>
          <w:szCs w:val="32"/>
        </w:rPr>
        <w:t>%，</w:t>
      </w:r>
      <w:r>
        <w:rPr>
          <w:rFonts w:ascii="TimesNewRoman" w:hAnsi="TimesNewRoman" w:cs="TimesNewRoman"/>
          <w:szCs w:val="32"/>
          <w:highlight w:val="none"/>
        </w:rPr>
        <w:t>增长原因主要是</w:t>
      </w:r>
      <w:r>
        <w:rPr>
          <w:rFonts w:hint="eastAsia" w:ascii="TimesNewRoman" w:hAnsi="TimesNewRoman" w:cs="TimesNewRoman"/>
          <w:szCs w:val="32"/>
          <w:highlight w:val="none"/>
          <w:lang w:val="en-US" w:eastAsia="zh-CN"/>
        </w:rPr>
        <w:t>人员的增加</w:t>
      </w:r>
      <w:r>
        <w:rPr>
          <w:rFonts w:ascii="TimesNewRoman" w:hAnsi="TimesNewRoman" w:cs="TimesNewRoman"/>
          <w:szCs w:val="32"/>
          <w:highlight w:val="none"/>
        </w:rPr>
        <w:t>。</w:t>
      </w:r>
    </w:p>
    <w:p>
      <w:pPr>
        <w:adjustRightInd w:val="0"/>
        <w:snapToGrid w:val="0"/>
        <w:spacing w:line="560" w:lineRule="exact"/>
        <w:ind w:firstLine="643" w:firstLineChars="200"/>
        <w:rPr>
          <w:rFonts w:ascii="TimesNewRoman" w:hAnsi="TimesNewRoman" w:cs="TimesNewRoman"/>
          <w:szCs w:val="32"/>
          <w:highlight w:val="yellow"/>
        </w:rPr>
      </w:pPr>
      <w:r>
        <w:rPr>
          <w:rFonts w:ascii="TimesNewRoman" w:hAnsi="TimesNewRoman" w:cs="TimesNewRoman"/>
          <w:b/>
          <w:szCs w:val="32"/>
          <w:highlight w:val="none"/>
        </w:rPr>
        <w:t>2.社</w:t>
      </w:r>
      <w:r>
        <w:rPr>
          <w:rFonts w:ascii="TimesNewRoman" w:hAnsi="TimesNewRoman" w:cs="TimesNewRoman"/>
          <w:b/>
          <w:szCs w:val="32"/>
        </w:rPr>
        <w:t>会保障和就业支出（类）</w:t>
      </w:r>
      <w:r>
        <w:rPr>
          <w:rFonts w:hint="eastAsia" w:ascii="TimesNewRoman" w:hAnsi="TimesNewRoman" w:cs="TimesNewRoman"/>
          <w:b/>
          <w:szCs w:val="32"/>
          <w:lang w:val="en-US" w:eastAsia="zh-CN"/>
        </w:rPr>
        <w:t>行政事业单位养老支出</w:t>
      </w:r>
      <w:r>
        <w:rPr>
          <w:rFonts w:ascii="TimesNewRoman" w:hAnsi="TimesNewRoman" w:cs="TimesNewRoman"/>
          <w:b/>
          <w:szCs w:val="32"/>
        </w:rPr>
        <w:t>（款）</w:t>
      </w:r>
      <w:r>
        <w:rPr>
          <w:rFonts w:hint="eastAsia" w:ascii="TimesNewRoman" w:hAnsi="TimesNewRoman" w:cs="TimesNewRoman"/>
          <w:b/>
          <w:szCs w:val="32"/>
          <w:lang w:val="en-US" w:eastAsia="zh-CN"/>
        </w:rPr>
        <w:t>行政事业单位职业年金缴纳、机关事业单位基本养老保险缴纳、行政单位离退休（项）</w:t>
      </w:r>
      <w:r>
        <w:rPr>
          <w:rFonts w:ascii="TimesNewRoman" w:hAnsi="TimesNewRoman" w:cs="TimesNewRoman"/>
          <w:szCs w:val="32"/>
        </w:rPr>
        <w:t>2023年预算</w:t>
      </w:r>
      <w:r>
        <w:rPr>
          <w:rFonts w:hint="eastAsia" w:ascii="TimesNewRoman" w:hAnsi="TimesNewRoman" w:cs="TimesNewRoman"/>
          <w:szCs w:val="32"/>
          <w:lang w:val="en-US" w:eastAsia="zh-CN"/>
        </w:rPr>
        <w:t>43.49</w:t>
      </w:r>
      <w:r>
        <w:rPr>
          <w:rFonts w:ascii="TimesNewRoman" w:hAnsi="TimesNewRoman" w:cs="TimesNewRoman"/>
          <w:szCs w:val="32"/>
        </w:rPr>
        <w:t>万元，比2022年预算增加</w:t>
      </w:r>
      <w:r>
        <w:rPr>
          <w:rFonts w:hint="eastAsia" w:ascii="TimesNewRoman" w:hAnsi="TimesNewRoman" w:cs="TimesNewRoman"/>
          <w:szCs w:val="32"/>
          <w:lang w:val="en-US" w:eastAsia="zh-CN"/>
        </w:rPr>
        <w:t>31.27</w:t>
      </w:r>
      <w:r>
        <w:rPr>
          <w:rFonts w:ascii="TimesNewRoman" w:hAnsi="TimesNewRoman" w:cs="TimesNewRoman"/>
          <w:szCs w:val="32"/>
        </w:rPr>
        <w:t>万元，增长</w:t>
      </w:r>
      <w:r>
        <w:rPr>
          <w:rFonts w:hint="eastAsia" w:ascii="TimesNewRoman" w:hAnsi="TimesNewRoman" w:cs="TimesNewRoman"/>
          <w:szCs w:val="32"/>
          <w:lang w:val="en-US" w:eastAsia="zh-CN"/>
        </w:rPr>
        <w:t>255.9</w:t>
      </w:r>
      <w:r>
        <w:rPr>
          <w:rFonts w:ascii="TimesNewRoman" w:hAnsi="TimesNewRoman" w:cs="TimesNewRoman"/>
          <w:szCs w:val="32"/>
        </w:rPr>
        <w:t>%，</w:t>
      </w:r>
      <w:r>
        <w:rPr>
          <w:rFonts w:ascii="TimesNewRoman" w:hAnsi="TimesNewRoman" w:cs="TimesNewRoman"/>
          <w:szCs w:val="32"/>
          <w:highlight w:val="none"/>
        </w:rPr>
        <w:t>增长原因</w:t>
      </w:r>
      <w:r>
        <w:rPr>
          <w:rFonts w:hint="eastAsia" w:ascii="TimesNewRoman" w:hAnsi="TimesNewRoman" w:cs="TimesNewRoman"/>
          <w:szCs w:val="32"/>
          <w:highlight w:val="none"/>
          <w:lang w:val="en-US" w:eastAsia="zh-CN"/>
        </w:rPr>
        <w:t>是人员的增加及缴费基数上调</w:t>
      </w:r>
      <w:r>
        <w:rPr>
          <w:rFonts w:ascii="TimesNewRoman" w:hAnsi="TimesNewRoman" w:cs="TimesNewRoman"/>
          <w:szCs w:val="32"/>
          <w:highlight w:val="none"/>
        </w:rPr>
        <w:t>。</w:t>
      </w:r>
    </w:p>
    <w:p>
      <w:pPr>
        <w:pStyle w:val="2"/>
        <w:ind w:firstLine="643" w:firstLineChars="200"/>
        <w:rPr>
          <w:rFonts w:hint="default" w:ascii="TimesNewRoman" w:hAnsi="TimesNewRoman" w:eastAsia="仿宋_GB2312" w:cs="TimesNewRoman"/>
          <w:b w:val="0"/>
          <w:kern w:val="2"/>
          <w:sz w:val="32"/>
          <w:szCs w:val="32"/>
          <w:highlight w:val="yellow"/>
          <w:lang w:val="en-US" w:eastAsia="zh-CN" w:bidi="ar-SA"/>
        </w:rPr>
      </w:pPr>
      <w:r>
        <w:rPr>
          <w:rFonts w:hint="eastAsia" w:ascii="TimesNewRoman" w:hAnsi="TimesNewRoman" w:eastAsia="仿宋_GB2312" w:cs="TimesNewRoman"/>
          <w:b/>
          <w:kern w:val="2"/>
          <w:sz w:val="32"/>
          <w:szCs w:val="32"/>
          <w:lang w:val="en-US" w:eastAsia="zh-CN" w:bidi="ar-SA"/>
        </w:rPr>
        <w:t>3</w:t>
      </w:r>
      <w:r>
        <w:rPr>
          <w:rFonts w:ascii="TimesNewRoman" w:hAnsi="TimesNewRoman" w:eastAsia="仿宋_GB2312" w:cs="TimesNewRoman"/>
          <w:b/>
          <w:kern w:val="2"/>
          <w:sz w:val="32"/>
          <w:szCs w:val="32"/>
          <w:lang w:val="en-US" w:eastAsia="zh-CN" w:bidi="ar-SA"/>
        </w:rPr>
        <w:t>.</w:t>
      </w:r>
      <w:r>
        <w:rPr>
          <w:rFonts w:hint="eastAsia" w:ascii="TimesNewRoman" w:hAnsi="TimesNewRoman" w:eastAsia="仿宋_GB2312" w:cs="TimesNewRoman"/>
          <w:b/>
          <w:kern w:val="2"/>
          <w:sz w:val="32"/>
          <w:szCs w:val="32"/>
          <w:lang w:val="en-US" w:eastAsia="zh-CN" w:bidi="ar-SA"/>
        </w:rPr>
        <w:t>卫生健康</w:t>
      </w:r>
      <w:r>
        <w:rPr>
          <w:rFonts w:ascii="TimesNewRoman" w:hAnsi="TimesNewRoman" w:eastAsia="仿宋_GB2312" w:cs="TimesNewRoman"/>
          <w:b/>
          <w:kern w:val="2"/>
          <w:sz w:val="32"/>
          <w:szCs w:val="32"/>
          <w:lang w:val="en-US" w:eastAsia="zh-CN" w:bidi="ar-SA"/>
        </w:rPr>
        <w:t>支出（类）</w:t>
      </w:r>
      <w:r>
        <w:rPr>
          <w:rFonts w:hint="eastAsia" w:ascii="TimesNewRoman" w:hAnsi="TimesNewRoman" w:eastAsia="仿宋_GB2312" w:cs="TimesNewRoman"/>
          <w:b/>
          <w:kern w:val="2"/>
          <w:sz w:val="32"/>
          <w:szCs w:val="32"/>
          <w:lang w:val="en-US" w:eastAsia="zh-CN" w:bidi="ar-SA"/>
        </w:rPr>
        <w:t>行政事业单位医疗</w:t>
      </w:r>
      <w:r>
        <w:rPr>
          <w:rFonts w:ascii="TimesNewRoman" w:hAnsi="TimesNewRoman" w:eastAsia="仿宋_GB2312" w:cs="TimesNewRoman"/>
          <w:b/>
          <w:kern w:val="2"/>
          <w:sz w:val="32"/>
          <w:szCs w:val="32"/>
          <w:lang w:val="en-US" w:eastAsia="zh-CN" w:bidi="ar-SA"/>
        </w:rPr>
        <w:t>（款）</w:t>
      </w:r>
      <w:r>
        <w:rPr>
          <w:rFonts w:hint="eastAsia" w:ascii="TimesNewRoman" w:hAnsi="TimesNewRoman" w:eastAsia="仿宋_GB2312" w:cs="TimesNewRoman"/>
          <w:b/>
          <w:kern w:val="2"/>
          <w:sz w:val="32"/>
          <w:szCs w:val="32"/>
          <w:lang w:val="en-US" w:eastAsia="zh-CN" w:bidi="ar-SA"/>
        </w:rPr>
        <w:t>行政单位医疗（项）</w:t>
      </w:r>
      <w:r>
        <w:rPr>
          <w:rFonts w:hint="eastAsia" w:ascii="TimesNewRoman" w:hAnsi="TimesNewRoman" w:eastAsia="仿宋_GB2312" w:cs="TimesNewRoman"/>
          <w:b w:val="0"/>
          <w:kern w:val="2"/>
          <w:sz w:val="32"/>
          <w:szCs w:val="32"/>
          <w:lang w:val="en-US" w:eastAsia="zh-CN" w:bidi="ar-SA"/>
        </w:rPr>
        <w:t>2023年预算2.9万元，比2022年预算减少0.41万元，减少12.39万元</w:t>
      </w:r>
      <w:r>
        <w:rPr>
          <w:rFonts w:hint="eastAsia" w:ascii="TimesNewRoman" w:hAnsi="TimesNewRoman" w:eastAsia="仿宋_GB2312" w:cs="TimesNewRoman"/>
          <w:b w:val="0"/>
          <w:kern w:val="2"/>
          <w:sz w:val="32"/>
          <w:szCs w:val="32"/>
          <w:highlight w:val="none"/>
          <w:lang w:val="en-US" w:eastAsia="zh-CN" w:bidi="ar-SA"/>
        </w:rPr>
        <w:t>，减少原因主要是预算科目调整。</w:t>
      </w:r>
    </w:p>
    <w:p>
      <w:pPr>
        <w:adjustRightInd w:val="0"/>
        <w:snapToGrid w:val="0"/>
        <w:spacing w:line="560" w:lineRule="exact"/>
        <w:ind w:firstLine="643" w:firstLineChars="200"/>
        <w:rPr>
          <w:rFonts w:ascii="TimesNewRoman" w:hAnsi="TimesNewRoman" w:cs="TimesNewRoman"/>
          <w:szCs w:val="32"/>
        </w:rPr>
      </w:pPr>
      <w:r>
        <w:rPr>
          <w:rFonts w:ascii="TimesNewRoman" w:hAnsi="TimesNewRoman" w:cs="TimesNewRoman"/>
          <w:b/>
          <w:szCs w:val="32"/>
        </w:rPr>
        <w:t>4.住房保障支出（类）住房改革支出（款）住房公积金（项）</w:t>
      </w:r>
      <w:r>
        <w:rPr>
          <w:rFonts w:ascii="TimesNewRoman" w:hAnsi="TimesNewRoman" w:cs="TimesNewRoman"/>
          <w:szCs w:val="32"/>
        </w:rPr>
        <w:t>2023年预算</w:t>
      </w:r>
      <w:r>
        <w:rPr>
          <w:rFonts w:hint="eastAsia" w:ascii="TimesNewRoman" w:hAnsi="TimesNewRoman" w:cs="TimesNewRoman"/>
          <w:szCs w:val="32"/>
          <w:lang w:val="en-US" w:eastAsia="zh-CN"/>
        </w:rPr>
        <w:t>7.25</w:t>
      </w:r>
      <w:r>
        <w:rPr>
          <w:rFonts w:ascii="TimesNewRoman" w:hAnsi="TimesNewRoman" w:cs="TimesNewRoman"/>
          <w:szCs w:val="32"/>
        </w:rPr>
        <w:t>万元，比2022年预算增加</w:t>
      </w:r>
      <w:r>
        <w:rPr>
          <w:rFonts w:hint="eastAsia" w:ascii="TimesNewRoman" w:hAnsi="TimesNewRoman" w:cs="TimesNewRoman"/>
          <w:szCs w:val="32"/>
          <w:lang w:val="en-US" w:eastAsia="zh-CN"/>
        </w:rPr>
        <w:t>1.14</w:t>
      </w:r>
      <w:r>
        <w:rPr>
          <w:rFonts w:ascii="TimesNewRoman" w:hAnsi="TimesNewRoman" w:cs="TimesNewRoman"/>
          <w:szCs w:val="32"/>
        </w:rPr>
        <w:t>万元，增长</w:t>
      </w:r>
      <w:r>
        <w:rPr>
          <w:rFonts w:hint="eastAsia" w:ascii="TimesNewRoman" w:hAnsi="TimesNewRoman" w:cs="TimesNewRoman"/>
          <w:szCs w:val="32"/>
          <w:lang w:val="en-US" w:eastAsia="zh-CN"/>
        </w:rPr>
        <w:t>18.66</w:t>
      </w:r>
      <w:r>
        <w:rPr>
          <w:rFonts w:ascii="TimesNewRoman" w:hAnsi="TimesNewRoman" w:cs="TimesNewRoman"/>
          <w:szCs w:val="32"/>
        </w:rPr>
        <w:t>%，</w:t>
      </w:r>
      <w:r>
        <w:rPr>
          <w:rFonts w:ascii="TimesNewRoman" w:hAnsi="TimesNewRoman" w:cs="TimesNewRoman"/>
          <w:szCs w:val="32"/>
          <w:highlight w:val="none"/>
        </w:rPr>
        <w:t>增长原因主要是</w:t>
      </w:r>
      <w:r>
        <w:rPr>
          <w:rFonts w:hint="eastAsia" w:ascii="TimesNewRoman" w:hAnsi="TimesNewRoman" w:cs="TimesNewRoman"/>
          <w:szCs w:val="32"/>
          <w:highlight w:val="none"/>
          <w:lang w:val="en-US" w:eastAsia="zh-CN"/>
        </w:rPr>
        <w:t>人员的增加及缴费基数上调</w:t>
      </w:r>
      <w:r>
        <w:rPr>
          <w:rFonts w:ascii="TimesNewRoman" w:hAnsi="TimesNewRoman" w:cs="TimesNewRoman"/>
          <w:szCs w:val="32"/>
          <w:highlight w:val="none"/>
        </w:rPr>
        <w:t>。</w:t>
      </w:r>
    </w:p>
    <w:p>
      <w:pPr>
        <w:pStyle w:val="6"/>
        <w:adjustRightInd w:val="0"/>
        <w:snapToGrid w:val="0"/>
        <w:spacing w:line="560" w:lineRule="exact"/>
        <w:ind w:firstLine="640" w:firstLineChars="200"/>
        <w:rPr>
          <w:rFonts w:ascii="TimesNewRoman" w:hAnsi="TimesNewRoman" w:eastAsia="黑体" w:cs="TimesNewRoman"/>
        </w:rPr>
      </w:pPr>
      <w:r>
        <w:rPr>
          <w:rFonts w:ascii="TimesNewRoman" w:hAnsi="TimesNewRoman" w:eastAsia="黑体" w:cs="TimesNewRoman"/>
          <w:sz w:val="32"/>
          <w:szCs w:val="32"/>
        </w:rPr>
        <w:t>六、关于2023年一般公共预算基本支出表的说明</w:t>
      </w:r>
    </w:p>
    <w:p>
      <w:pPr>
        <w:spacing w:line="560" w:lineRule="exact"/>
        <w:ind w:firstLine="640" w:firstLineChars="200"/>
        <w:rPr>
          <w:rFonts w:ascii="TimesNewRoman" w:hAnsi="TimesNewRoman" w:cs="TimesNewRoman"/>
          <w:szCs w:val="32"/>
        </w:rPr>
      </w:pPr>
      <w:r>
        <w:rPr>
          <w:rFonts w:hint="eastAsia" w:ascii="TimesNewRoman" w:hAnsi="TimesNewRoman" w:cs="TimesNewRoman"/>
          <w:szCs w:val="32"/>
        </w:rPr>
        <w:t>宿松县</w:t>
      </w:r>
      <w:r>
        <w:rPr>
          <w:rFonts w:hint="eastAsia" w:ascii="TimesNewRoman" w:hAnsi="TimesNewRoman" w:cs="TimesNewRoman"/>
          <w:szCs w:val="32"/>
          <w:lang w:val="en-US" w:eastAsia="zh-CN"/>
        </w:rPr>
        <w:t>总工会</w:t>
      </w:r>
      <w:r>
        <w:rPr>
          <w:rFonts w:ascii="TimesNewRoman" w:hAnsi="TimesNewRoman" w:cs="TimesNewRoman"/>
          <w:szCs w:val="32"/>
        </w:rPr>
        <w:t>2023年一般公共预算基本支出</w:t>
      </w:r>
      <w:r>
        <w:rPr>
          <w:rFonts w:hint="eastAsia" w:ascii="TimesNewRoman" w:hAnsi="TimesNewRoman" w:cs="TimesNewRoman"/>
          <w:szCs w:val="32"/>
          <w:lang w:val="en-US" w:eastAsia="zh-CN"/>
        </w:rPr>
        <w:t>119.2</w:t>
      </w:r>
      <w:r>
        <w:rPr>
          <w:rFonts w:ascii="TimesNewRoman" w:hAnsi="TimesNewRoman" w:cs="TimesNewRoman"/>
          <w:szCs w:val="32"/>
        </w:rPr>
        <w:t>万元，其中，人员经费</w:t>
      </w:r>
      <w:r>
        <w:rPr>
          <w:rFonts w:hint="eastAsia" w:ascii="TimesNewRoman" w:hAnsi="TimesNewRoman" w:cs="TimesNewRoman"/>
          <w:szCs w:val="32"/>
          <w:lang w:val="en-US" w:eastAsia="zh-CN"/>
        </w:rPr>
        <w:t>114.57</w:t>
      </w:r>
      <w:r>
        <w:rPr>
          <w:rFonts w:ascii="TimesNewRoman" w:hAnsi="TimesNewRoman" w:cs="TimesNewRoman"/>
          <w:szCs w:val="32"/>
        </w:rPr>
        <w:t>万元，公用经费</w:t>
      </w:r>
      <w:r>
        <w:rPr>
          <w:rFonts w:hint="eastAsia" w:ascii="TimesNewRoman" w:hAnsi="TimesNewRoman" w:cs="TimesNewRoman"/>
          <w:szCs w:val="32"/>
          <w:lang w:val="en-US" w:eastAsia="zh-CN"/>
        </w:rPr>
        <w:t>4.63</w:t>
      </w:r>
      <w:r>
        <w:rPr>
          <w:rFonts w:ascii="TimesNewRoman" w:hAnsi="TimesNewRoman" w:cs="TimesNewRoman"/>
          <w:szCs w:val="32"/>
        </w:rPr>
        <w:t>万元。</w:t>
      </w:r>
    </w:p>
    <w:p>
      <w:pPr>
        <w:spacing w:line="560" w:lineRule="exact"/>
        <w:ind w:firstLine="640" w:firstLineChars="200"/>
        <w:rPr>
          <w:rFonts w:ascii="TimesNewRoman" w:hAnsi="TimesNewRoman" w:cs="TimesNewRoman"/>
          <w:szCs w:val="32"/>
          <w:u w:val="single"/>
        </w:rPr>
      </w:pPr>
      <w:r>
        <w:rPr>
          <w:rFonts w:ascii="TimesNewRoman" w:hAnsi="TimesNewRoman" w:cs="TimesNewRoman"/>
          <w:szCs w:val="32"/>
        </w:rPr>
        <w:t>（一）人员经费</w:t>
      </w:r>
      <w:r>
        <w:rPr>
          <w:rFonts w:hint="eastAsia" w:ascii="TimesNewRoman" w:hAnsi="TimesNewRoman" w:cs="TimesNewRoman"/>
          <w:szCs w:val="32"/>
          <w:lang w:val="en-US" w:eastAsia="zh-CN"/>
        </w:rPr>
        <w:t>114.57</w:t>
      </w:r>
      <w:r>
        <w:rPr>
          <w:rFonts w:ascii="TimesNewRoman" w:hAnsi="TimesNewRoman" w:cs="TimesNewRoman"/>
          <w:szCs w:val="32"/>
        </w:rPr>
        <w:t>万元，主要包括</w:t>
      </w:r>
      <w:r>
        <w:rPr>
          <w:rFonts w:ascii="TimesNewRoman" w:hAnsi="TimesNewRoman" w:cs="TimesNewRoman"/>
          <w:szCs w:val="32"/>
          <w:u w:val="none"/>
        </w:rPr>
        <w:t>:</w:t>
      </w:r>
      <w:r>
        <w:rPr>
          <w:rFonts w:ascii="TimesNewRoman" w:hAnsi="TimesNewRoman" w:cs="TimesNewRoman"/>
          <w:szCs w:val="32"/>
          <w:u w:val="single"/>
        </w:rPr>
        <w:t>基本工资、津贴补贴、奖金、伙食补助费、绩效工资、机关事业单位基本养老保险费、职业年金缴费、职工基本医疗保险缴费、公务员医疗补助缴费、其他社会保障缴费、住房公积金、医疗费、其他工资福利支出、离休费、退休费对其他个人和家庭的补助支出。</w:t>
      </w:r>
    </w:p>
    <w:p>
      <w:pPr>
        <w:spacing w:line="560" w:lineRule="exact"/>
        <w:ind w:firstLine="640" w:firstLineChars="200"/>
        <w:rPr>
          <w:rFonts w:ascii="TimesNewRoman" w:hAnsi="TimesNewRoman" w:eastAsia="楷体_GB2312" w:cs="TimesNewRoman"/>
          <w:szCs w:val="32"/>
          <w:u w:val="single"/>
        </w:rPr>
      </w:pPr>
      <w:r>
        <w:rPr>
          <w:rFonts w:ascii="TimesNewRoman" w:hAnsi="TimesNewRoman" w:cs="TimesNewRoman"/>
          <w:szCs w:val="32"/>
        </w:rPr>
        <w:t>（二）公用经费</w:t>
      </w:r>
      <w:r>
        <w:rPr>
          <w:rFonts w:hint="eastAsia" w:ascii="TimesNewRoman" w:hAnsi="TimesNewRoman" w:cs="TimesNewRoman"/>
          <w:szCs w:val="32"/>
          <w:lang w:val="en-US" w:eastAsia="zh-CN"/>
        </w:rPr>
        <w:t>4.63</w:t>
      </w:r>
      <w:r>
        <w:rPr>
          <w:rFonts w:ascii="TimesNewRoman" w:hAnsi="TimesNewRoman" w:cs="TimesNewRoman"/>
          <w:szCs w:val="32"/>
        </w:rPr>
        <w:t>万元，主要包括：</w:t>
      </w:r>
      <w:r>
        <w:rPr>
          <w:rFonts w:hint="eastAsia" w:ascii="TimesNewRoman" w:hAnsi="TimesNewRoman" w:cs="TimesNewRoman"/>
          <w:szCs w:val="32"/>
          <w:u w:val="single"/>
          <w:lang w:val="en-US" w:eastAsia="zh-CN"/>
        </w:rPr>
        <w:t>工会经费、其他交通费用</w:t>
      </w:r>
      <w:r>
        <w:rPr>
          <w:rFonts w:ascii="TimesNewRoman" w:hAnsi="TimesNewRoman" w:cs="TimesNewRoman"/>
          <w:szCs w:val="32"/>
          <w:u w:val="single"/>
        </w:rPr>
        <w:t>。</w:t>
      </w:r>
    </w:p>
    <w:p>
      <w:pPr>
        <w:pStyle w:val="6"/>
        <w:adjustRightInd w:val="0"/>
        <w:snapToGrid w:val="0"/>
        <w:spacing w:line="560" w:lineRule="exact"/>
        <w:ind w:firstLine="640" w:firstLineChars="200"/>
        <w:rPr>
          <w:rFonts w:ascii="TimesNewRoman" w:hAnsi="TimesNewRoman" w:eastAsia="楷体_GB2312" w:cs="TimesNewRoman"/>
          <w:sz w:val="32"/>
          <w:szCs w:val="32"/>
        </w:rPr>
      </w:pPr>
      <w:r>
        <w:rPr>
          <w:rFonts w:ascii="TimesNewRoman" w:hAnsi="TimesNewRoman" w:eastAsia="黑体" w:cs="TimesNewRoman"/>
          <w:sz w:val="32"/>
          <w:szCs w:val="32"/>
        </w:rPr>
        <w:t>七、关于2023年政府性基金预算支出表的说明</w:t>
      </w:r>
    </w:p>
    <w:p>
      <w:pPr>
        <w:pStyle w:val="6"/>
        <w:adjustRightInd w:val="0"/>
        <w:snapToGrid w:val="0"/>
        <w:spacing w:line="560" w:lineRule="exact"/>
        <w:ind w:firstLine="480" w:firstLineChars="15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val="en-US" w:eastAsia="zh-CN"/>
        </w:rPr>
        <w:t>总工会</w:t>
      </w:r>
      <w:r>
        <w:rPr>
          <w:rFonts w:ascii="TimesNewRoman" w:hAnsi="TimesNewRoman" w:eastAsia="仿宋_GB2312" w:cs="TimesNewRoman"/>
          <w:sz w:val="32"/>
          <w:szCs w:val="32"/>
        </w:rPr>
        <w:t>2023年没有政府性基金预算拨款收入，也没有使用政府性基金预算拨款安排的支出。</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八、关于2023年国有资本经营预算支出表的说明</w:t>
      </w:r>
    </w:p>
    <w:p>
      <w:pPr>
        <w:pStyle w:val="6"/>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val="en-US" w:eastAsia="zh-CN"/>
        </w:rPr>
        <w:t>总工会</w:t>
      </w:r>
      <w:r>
        <w:rPr>
          <w:rFonts w:ascii="TimesNewRoman" w:hAnsi="TimesNewRoman" w:eastAsia="仿宋_GB2312" w:cs="TimesNewRoman"/>
          <w:sz w:val="32"/>
          <w:szCs w:val="32"/>
        </w:rPr>
        <w:t>2023年没有国有资本经营预算拨款收入，也没有使用国有资本经营预算拨款安排的支出。</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九、关于2023年项目支出表的说明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宿松县</w:t>
      </w:r>
      <w:r>
        <w:rPr>
          <w:rFonts w:hint="eastAsia" w:ascii="仿宋_GB2312" w:hAnsi="仿宋" w:eastAsia="仿宋_GB2312"/>
          <w:sz w:val="32"/>
          <w:szCs w:val="32"/>
          <w:lang w:eastAsia="zh-CN"/>
        </w:rPr>
        <w:t>总工会</w:t>
      </w:r>
      <w:r>
        <w:rPr>
          <w:rFonts w:hint="eastAsia" w:ascii="仿宋_GB2312" w:hAnsi="仿宋" w:eastAsia="仿宋_GB2312"/>
          <w:sz w:val="32"/>
          <w:szCs w:val="32"/>
        </w:rPr>
        <w:t>2</w:t>
      </w:r>
      <w:r>
        <w:rPr>
          <w:rFonts w:hint="eastAsia" w:ascii="仿宋_GB2312" w:hAnsi="仿宋" w:eastAsia="仿宋_GB2312"/>
          <w:sz w:val="32"/>
          <w:szCs w:val="32"/>
          <w:lang w:val="en-US" w:eastAsia="zh-CN"/>
        </w:rPr>
        <w:t>023</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145.37</w:t>
      </w:r>
      <w:r>
        <w:rPr>
          <w:rFonts w:hint="eastAsia" w:ascii="仿宋_GB2312" w:hAnsi="仿宋" w:eastAsia="仿宋_GB2312"/>
          <w:sz w:val="32"/>
          <w:szCs w:val="32"/>
        </w:rPr>
        <w:t>万元，</w:t>
      </w:r>
      <w:r>
        <w:rPr>
          <w:rFonts w:hint="eastAsia" w:ascii="仿宋_GB2312" w:hAnsi="仿宋" w:eastAsia="仿宋_GB2312"/>
          <w:sz w:val="32"/>
          <w:szCs w:val="32"/>
          <w:lang w:eastAsia="zh-CN"/>
        </w:rPr>
        <w:t>比</w:t>
      </w:r>
      <w:r>
        <w:rPr>
          <w:rFonts w:hint="eastAsia" w:ascii="仿宋_GB2312" w:hAnsi="仿宋" w:eastAsia="仿宋_GB2312"/>
          <w:sz w:val="32"/>
          <w:szCs w:val="32"/>
          <w:lang w:val="en-US" w:eastAsia="zh-CN"/>
        </w:rPr>
        <w:t>2022年预算增加14.17万，增长10.8%，</w:t>
      </w:r>
      <w:r>
        <w:rPr>
          <w:rFonts w:hint="eastAsia" w:ascii="仿宋_GB2312" w:hAnsi="仿宋" w:eastAsia="仿宋_GB2312"/>
          <w:sz w:val="32"/>
          <w:szCs w:val="32"/>
          <w:highlight w:val="none"/>
          <w:lang w:val="en-US" w:eastAsia="zh-CN"/>
        </w:rPr>
        <w:t>增长原因主要是新增2名专职集体协商指导员</w:t>
      </w:r>
      <w:r>
        <w:rPr>
          <w:rFonts w:hint="eastAsia" w:ascii="仿宋" w:hAnsi="仿宋" w:eastAsia="仿宋" w:cs="仿宋"/>
          <w:b w:val="0"/>
          <w:bCs/>
          <w:kern w:val="2"/>
          <w:sz w:val="32"/>
          <w:szCs w:val="32"/>
          <w:highlight w:val="none"/>
          <w:lang w:val="en-US" w:eastAsia="zh-CN" w:bidi="ar-SA"/>
        </w:rPr>
        <w:t>。</w:t>
      </w:r>
      <w:r>
        <w:rPr>
          <w:rFonts w:hint="eastAsia" w:ascii="仿宋_GB2312" w:hAnsi="仿宋" w:eastAsia="仿宋_GB2312"/>
          <w:sz w:val="32"/>
          <w:szCs w:val="32"/>
          <w:highlight w:val="none"/>
          <w:lang w:eastAsia="zh-CN"/>
        </w:rPr>
        <w:t>主要包括：本年财政拨款安排</w:t>
      </w:r>
      <w:r>
        <w:rPr>
          <w:rFonts w:hint="eastAsia" w:ascii="仿宋_GB2312" w:hAnsi="仿宋" w:eastAsia="仿宋_GB2312"/>
          <w:sz w:val="32"/>
          <w:szCs w:val="32"/>
          <w:highlight w:val="none"/>
          <w:lang w:val="en-US" w:eastAsia="zh-CN"/>
        </w:rPr>
        <w:t>145.37万元（其中，一般公共预算拨款安排145.37万元，政府性基金预算拨款安排</w:t>
      </w:r>
      <w:r>
        <w:rPr>
          <w:rFonts w:hint="eastAsia" w:ascii="仿宋_GB2312" w:hAnsi="仿宋" w:eastAsia="仿宋_GB2312"/>
          <w:sz w:val="32"/>
          <w:szCs w:val="32"/>
          <w:lang w:val="en-US" w:eastAsia="zh-CN"/>
        </w:rPr>
        <w:t>0万元，国有资本经营预算拨款安排0万元），财政拨款结转结余安排0万元（其中，一般公共预算拨款安排0万元，政府性基金预算拨款安排0万元，国有资本经营预算拨款安排0万元）、财政专户管理资金安排0万元和单位资金安排0万元</w:t>
      </w:r>
      <w:r>
        <w:rPr>
          <w:rFonts w:hint="eastAsia" w:ascii="仿宋_GB2312" w:hAnsi="仿宋" w:eastAsia="仿宋_GB2312"/>
          <w:sz w:val="32"/>
          <w:szCs w:val="32"/>
        </w:rPr>
        <w:t>。</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十、关于2023年政府采购支出表的说明</w:t>
      </w:r>
    </w:p>
    <w:p>
      <w:pPr>
        <w:pStyle w:val="6"/>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val="en-US" w:eastAsia="zh-CN"/>
        </w:rPr>
        <w:t>总工会</w:t>
      </w:r>
      <w:r>
        <w:rPr>
          <w:rFonts w:ascii="TimesNewRoman" w:hAnsi="TimesNewRoman" w:eastAsia="仿宋_GB2312" w:cs="TimesNewRoman"/>
          <w:sz w:val="32"/>
          <w:szCs w:val="32"/>
        </w:rPr>
        <w:t>2023年没有使用一般公共预算拨款、政府性基金预算拨款、国有资本经营预算拨款、财政专户管理资金和单位资金安排的政府采购支出。</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十一、关于2023年政府购买服务支出表的说明</w:t>
      </w:r>
    </w:p>
    <w:p>
      <w:pPr>
        <w:pStyle w:val="6"/>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val="en-US" w:eastAsia="zh-CN"/>
        </w:rPr>
        <w:t>总工会</w:t>
      </w:r>
      <w:r>
        <w:rPr>
          <w:rFonts w:ascii="TimesNewRoman" w:hAnsi="TimesNewRoman" w:eastAsia="仿宋_GB2312" w:cs="TimesNewRoman"/>
          <w:sz w:val="32"/>
          <w:szCs w:val="32"/>
        </w:rPr>
        <w:t>2023年没有安排政府购买服务支出。</w:t>
      </w:r>
    </w:p>
    <w:p>
      <w:pPr>
        <w:adjustRightInd w:val="0"/>
        <w:snapToGrid w:val="0"/>
        <w:spacing w:line="580" w:lineRule="exact"/>
        <w:ind w:firstLine="640" w:firstLineChars="200"/>
        <w:rPr>
          <w:rFonts w:ascii="黑体" w:hAnsi="黑体" w:eastAsia="黑体"/>
          <w:szCs w:val="32"/>
          <w:highlight w:val="none"/>
        </w:rPr>
      </w:pPr>
      <w:r>
        <w:rPr>
          <w:rFonts w:hint="eastAsia" w:ascii="黑体" w:hAnsi="黑体" w:eastAsia="黑体"/>
          <w:szCs w:val="32"/>
          <w:highlight w:val="none"/>
        </w:rPr>
        <w:t>十二、其他重要事项情况说明</w:t>
      </w:r>
    </w:p>
    <w:p>
      <w:pPr>
        <w:adjustRightInd w:val="0"/>
        <w:snapToGrid w:val="0"/>
        <w:spacing w:line="580" w:lineRule="exact"/>
        <w:ind w:firstLine="643" w:firstLineChars="200"/>
        <w:rPr>
          <w:rFonts w:ascii="TimesNewRoman" w:hAnsi="TimesNewRoman" w:cs="TimesNewRoman"/>
          <w:b/>
          <w:szCs w:val="32"/>
        </w:rPr>
      </w:pPr>
      <w:r>
        <w:rPr>
          <w:rFonts w:hint="eastAsia" w:ascii="TimesNewRoman" w:hAnsi="TimesNewRoman" w:cs="TimesNewRoman"/>
          <w:b/>
          <w:szCs w:val="32"/>
        </w:rPr>
        <w:t>（一）项目及绩效目标情况。</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1.</w:t>
      </w:r>
      <w:r>
        <w:rPr>
          <w:rFonts w:hint="eastAsia" w:ascii="TimesNewRoman" w:hAnsi="TimesNewRoman" w:cs="TimesNewRoman"/>
          <w:b/>
          <w:szCs w:val="32"/>
        </w:rPr>
        <w:t>“</w:t>
      </w:r>
      <w:r>
        <w:rPr>
          <w:rFonts w:hint="eastAsia" w:ascii="TimesNewRoman" w:hAnsi="TimesNewRoman" w:cs="TimesNewRoman"/>
          <w:b/>
          <w:szCs w:val="32"/>
          <w:lang w:val="en-US" w:eastAsia="zh-CN"/>
        </w:rPr>
        <w:t>工会经费</w:t>
      </w:r>
      <w:r>
        <w:rPr>
          <w:rFonts w:hint="eastAsia" w:ascii="TimesNewRoman" w:hAnsi="TimesNewRoman" w:cs="TimesNewRoman"/>
          <w:b/>
          <w:szCs w:val="32"/>
        </w:rPr>
        <w:t>”项目。</w:t>
      </w:r>
    </w:p>
    <w:p>
      <w:pPr>
        <w:widowControl/>
        <w:numPr>
          <w:ilvl w:val="0"/>
          <w:numId w:val="0"/>
        </w:numPr>
        <w:ind w:leftChars="0" w:firstLine="640" w:firstLineChars="200"/>
        <w:jc w:val="both"/>
        <w:rPr>
          <w:rFonts w:hint="eastAsia" w:ascii="仿宋_GB2312" w:hAnsi="楷体" w:eastAsia="仿宋_GB2312"/>
          <w:b w:val="0"/>
          <w:bCs w:val="0"/>
          <w:sz w:val="32"/>
          <w:szCs w:val="32"/>
        </w:rPr>
      </w:pPr>
      <w:r>
        <w:rPr>
          <w:rFonts w:hint="eastAsia" w:ascii="TimesNewRoman" w:hAnsi="TimesNewRoman" w:cs="TimesNewRoman"/>
          <w:szCs w:val="32"/>
        </w:rPr>
        <w:t>（</w:t>
      </w:r>
      <w:r>
        <w:rPr>
          <w:rFonts w:ascii="TimesNewRoman" w:hAnsi="TimesNewRoman" w:cs="TimesNewRoman"/>
          <w:szCs w:val="32"/>
        </w:rPr>
        <w:t>1</w:t>
      </w:r>
      <w:r>
        <w:rPr>
          <w:rFonts w:hint="eastAsia" w:ascii="TimesNewRoman" w:hAnsi="TimesNewRoman" w:cs="TimesNewRoman"/>
          <w:szCs w:val="32"/>
        </w:rPr>
        <w:t>）项目概述。</w:t>
      </w:r>
      <w:r>
        <w:rPr>
          <w:rFonts w:hint="eastAsia" w:ascii="仿宋_GB2312" w:hAnsi="楷体" w:eastAsia="仿宋_GB2312"/>
          <w:b w:val="0"/>
          <w:bCs w:val="0"/>
          <w:sz w:val="32"/>
          <w:szCs w:val="32"/>
        </w:rPr>
        <w:t>县总工会是县委、县政府领导的职工自愿结合的工人阶级群众组织，是党联系职工群众的桥梁和纽带，是全县各基层工会组织的领导机关。</w:t>
      </w:r>
    </w:p>
    <w:p>
      <w:pPr>
        <w:widowControl/>
        <w:numPr>
          <w:ilvl w:val="0"/>
          <w:numId w:val="0"/>
        </w:numPr>
        <w:ind w:leftChars="0" w:firstLine="640" w:firstLineChars="200"/>
        <w:jc w:val="both"/>
        <w:rPr>
          <w:rFonts w:hint="eastAsia" w:ascii="仿宋_GB2312" w:hAnsi="楷体" w:eastAsia="仿宋_GB2312"/>
          <w:b w:val="0"/>
          <w:bCs w:val="0"/>
          <w:sz w:val="32"/>
          <w:szCs w:val="32"/>
        </w:rPr>
      </w:pPr>
      <w:r>
        <w:rPr>
          <w:rFonts w:hint="eastAsia" w:ascii="仿宋_GB2312" w:hAnsi="楷体" w:eastAsia="仿宋_GB2312"/>
          <w:b w:val="0"/>
          <w:bCs w:val="0"/>
          <w:sz w:val="32"/>
          <w:szCs w:val="32"/>
        </w:rPr>
        <w:t>主要职责为：一是组织（负责）和指导全县各级工会把握工会工作正确政治方向，引导职工群众听党话、跟党走。二是组织（负责）和指导各级工会坚定不移地贯彻落实党的全心全意依靠工人阶级的根本指导方针，进一步突出和履行维护职工合法权益的职能。承担劳动关系领域社会组织的政治引领、示范带动和联系服务工作。三是组织和动员职工群众围绕经济建设中心，积极开展经济技术创新、劳动竞赛、合理化建议、技术革新等活动，教育职工不断提高思想道德和科学文化素质，培养和造就有理想、有道德、有文化、有纪律的职工队伍，推动全县各项事业健康发展，为构建和谐社会作贡献。</w:t>
      </w:r>
    </w:p>
    <w:p>
      <w:pPr>
        <w:numPr>
          <w:ilvl w:val="0"/>
          <w:numId w:val="2"/>
        </w:numPr>
        <w:adjustRightInd w:val="0"/>
        <w:snapToGrid w:val="0"/>
        <w:spacing w:line="580" w:lineRule="exact"/>
        <w:ind w:firstLine="640" w:firstLineChars="200"/>
        <w:rPr>
          <w:rFonts w:hint="eastAsia" w:ascii="仿宋_GB2312" w:hAnsi="楷体" w:eastAsia="仿宋_GB2312"/>
          <w:sz w:val="32"/>
          <w:szCs w:val="32"/>
          <w:lang w:eastAsia="zh-CN"/>
        </w:rPr>
      </w:pPr>
      <w:r>
        <w:rPr>
          <w:rFonts w:hint="eastAsia" w:ascii="TimesNewRoman" w:hAnsi="TimesNewRoman" w:cs="TimesNewRoman"/>
          <w:szCs w:val="32"/>
        </w:rPr>
        <w:t>立项依据。</w:t>
      </w:r>
      <w:r>
        <w:rPr>
          <w:rFonts w:hint="eastAsia" w:ascii="仿宋_GB2312" w:hAnsi="楷体" w:eastAsia="仿宋_GB2312"/>
          <w:sz w:val="32"/>
          <w:szCs w:val="32"/>
          <w:lang w:eastAsia="zh-CN"/>
        </w:rPr>
        <w:t>安徽省总工会文件要求。</w:t>
      </w:r>
    </w:p>
    <w:p>
      <w:pPr>
        <w:numPr>
          <w:ilvl w:val="0"/>
          <w:numId w:val="2"/>
        </w:numPr>
        <w:adjustRightInd w:val="0"/>
        <w:snapToGrid w:val="0"/>
        <w:spacing w:line="580" w:lineRule="exact"/>
        <w:ind w:firstLine="640" w:firstLineChars="200"/>
        <w:rPr>
          <w:rFonts w:ascii="TimesNewRoman" w:hAnsi="TimesNewRoman" w:cs="TimesNewRoman"/>
          <w:szCs w:val="32"/>
        </w:rPr>
      </w:pPr>
      <w:r>
        <w:rPr>
          <w:rFonts w:hint="eastAsia" w:ascii="TimesNewRoman" w:hAnsi="TimesNewRoman" w:cs="TimesNewRoman"/>
          <w:szCs w:val="32"/>
        </w:rPr>
        <w:t>实施主体。</w:t>
      </w:r>
      <w:r>
        <w:rPr>
          <w:rFonts w:hint="eastAsia" w:ascii="TimesNewRoman" w:hAnsi="TimesNewRoman" w:cs="TimesNewRoman"/>
          <w:szCs w:val="32"/>
          <w:lang w:val="en-US" w:eastAsia="zh-CN"/>
        </w:rPr>
        <w:t>宿松县总工会</w:t>
      </w:r>
    </w:p>
    <w:p>
      <w:pPr>
        <w:numPr>
          <w:ilvl w:val="0"/>
          <w:numId w:val="2"/>
        </w:numPr>
        <w:adjustRightInd w:val="0"/>
        <w:snapToGrid w:val="0"/>
        <w:spacing w:line="580" w:lineRule="exact"/>
        <w:ind w:left="0" w:leftChars="0" w:firstLine="640" w:firstLineChars="200"/>
        <w:rPr>
          <w:rFonts w:hint="eastAsia" w:ascii="TimesNewRoman" w:hAnsi="TimesNewRoman" w:cs="TimesNewRoman"/>
          <w:szCs w:val="32"/>
          <w:lang w:val="en-US" w:eastAsia="zh-CN"/>
        </w:rPr>
      </w:pPr>
      <w:r>
        <w:rPr>
          <w:rFonts w:hint="eastAsia" w:ascii="TimesNewRoman" w:hAnsi="TimesNewRoman" w:cs="TimesNewRoman"/>
          <w:szCs w:val="32"/>
        </w:rPr>
        <w:t>起止时间。</w:t>
      </w:r>
      <w:r>
        <w:rPr>
          <w:rFonts w:hint="eastAsia" w:ascii="TimesNewRoman" w:hAnsi="TimesNewRoman" w:cs="TimesNewRoman"/>
          <w:szCs w:val="32"/>
          <w:lang w:val="en-US" w:eastAsia="zh-CN"/>
        </w:rPr>
        <w:t>2023年1-12月。</w:t>
      </w:r>
    </w:p>
    <w:p>
      <w:pPr>
        <w:numPr>
          <w:ilvl w:val="0"/>
          <w:numId w:val="2"/>
        </w:numPr>
        <w:adjustRightInd w:val="0"/>
        <w:snapToGrid w:val="0"/>
        <w:spacing w:line="580" w:lineRule="exact"/>
        <w:ind w:left="0" w:leftChars="0" w:firstLine="640" w:firstLineChars="200"/>
        <w:rPr>
          <w:rFonts w:ascii="TimesNewRoman" w:hAnsi="TimesNewRoman" w:cs="TimesNewRoman"/>
          <w:szCs w:val="32"/>
        </w:rPr>
      </w:pPr>
      <w:r>
        <w:rPr>
          <w:rFonts w:hint="eastAsia" w:ascii="TimesNewRoman" w:hAnsi="TimesNewRoman" w:cs="TimesNewRoman"/>
          <w:szCs w:val="32"/>
        </w:rPr>
        <w:t>项目内容。</w:t>
      </w:r>
      <w:r>
        <w:rPr>
          <w:rFonts w:hint="eastAsia" w:ascii="仿宋_GB2312" w:hAnsi="楷体" w:eastAsia="仿宋_GB2312" w:cstheme="minorBidi"/>
          <w:b w:val="0"/>
          <w:kern w:val="2"/>
          <w:sz w:val="32"/>
          <w:szCs w:val="32"/>
          <w:lang w:val="en-US" w:eastAsia="zh-CN" w:bidi="ar-SA"/>
        </w:rPr>
        <w:t>保障机关聘用人员基本工资、其他工资福利、保障机构日常运转以及完成日常工作任务等项目。</w:t>
      </w:r>
    </w:p>
    <w:p>
      <w:pPr>
        <w:numPr>
          <w:ilvl w:val="0"/>
          <w:numId w:val="2"/>
        </w:numPr>
        <w:adjustRightInd w:val="0"/>
        <w:snapToGrid w:val="0"/>
        <w:spacing w:line="580" w:lineRule="exact"/>
        <w:ind w:left="0" w:leftChars="0" w:firstLine="640" w:firstLineChars="200"/>
        <w:rPr>
          <w:rFonts w:hint="eastAsia" w:ascii="TimesNewRoman" w:hAnsi="TimesNewRoman" w:cs="TimesNewRoman"/>
          <w:szCs w:val="32"/>
          <w:lang w:val="en-US" w:eastAsia="zh-CN"/>
        </w:rPr>
      </w:pPr>
      <w:r>
        <w:rPr>
          <w:rFonts w:hint="eastAsia" w:ascii="TimesNewRoman" w:hAnsi="TimesNewRoman" w:cs="TimesNewRoman"/>
          <w:szCs w:val="32"/>
        </w:rPr>
        <w:t>年度预算安排。</w:t>
      </w:r>
      <w:r>
        <w:rPr>
          <w:rFonts w:hint="eastAsia" w:ascii="TimesNewRoman" w:hAnsi="TimesNewRoman" w:cs="TimesNewRoman"/>
          <w:szCs w:val="32"/>
          <w:lang w:val="en-US" w:eastAsia="zh-CN"/>
        </w:rPr>
        <w:t>145.37万元。</w:t>
      </w:r>
    </w:p>
    <w:p>
      <w:pPr>
        <w:numPr>
          <w:ilvl w:val="0"/>
          <w:numId w:val="0"/>
        </w:numPr>
        <w:adjustRightInd w:val="0"/>
        <w:snapToGrid w:val="0"/>
        <w:spacing w:line="580" w:lineRule="exact"/>
        <w:ind w:leftChars="200"/>
        <w:rPr>
          <w:rFonts w:ascii="TimesNewRoman" w:hAnsi="TimesNewRoman" w:cs="TimesNewRoman"/>
          <w:szCs w:val="32"/>
        </w:rPr>
      </w:pPr>
      <w:r>
        <w:rPr>
          <w:rFonts w:hint="eastAsia" w:ascii="TimesNewRoman" w:hAnsi="TimesNewRoman" w:cs="TimesNewRoman"/>
          <w:szCs w:val="32"/>
        </w:rPr>
        <w:t>（</w:t>
      </w:r>
      <w:r>
        <w:rPr>
          <w:rFonts w:ascii="TimesNewRoman" w:hAnsi="TimesNewRoman" w:cs="TimesNewRoman"/>
          <w:szCs w:val="32"/>
        </w:rPr>
        <w:t>7</w:t>
      </w:r>
      <w:r>
        <w:rPr>
          <w:rFonts w:hint="eastAsia" w:ascii="TimesNewRoman" w:hAnsi="TimesNewRoman" w:cs="TimesNewRoman"/>
          <w:szCs w:val="32"/>
        </w:rPr>
        <w:t>）绩效目标。</w:t>
      </w:r>
    </w:p>
    <w:p>
      <w:pPr>
        <w:adjustRightInd w:val="0"/>
        <w:snapToGrid w:val="0"/>
        <w:spacing w:line="600" w:lineRule="exact"/>
        <w:ind w:firstLine="640" w:firstLineChars="200"/>
        <w:rPr>
          <w:rFonts w:ascii="仿宋_GB2312" w:hAnsi="楷体"/>
          <w:szCs w:val="32"/>
        </w:rPr>
      </w:pPr>
    </w:p>
    <w:p>
      <w:pPr>
        <w:adjustRightInd w:val="0"/>
        <w:snapToGrid w:val="0"/>
        <w:spacing w:line="600" w:lineRule="exact"/>
        <w:ind w:firstLine="640" w:firstLineChars="200"/>
        <w:rPr>
          <w:rFonts w:ascii="仿宋_GB2312" w:hAnsi="楷体"/>
          <w:szCs w:val="32"/>
        </w:rPr>
      </w:pPr>
    </w:p>
    <w:p>
      <w:pPr>
        <w:adjustRightInd w:val="0"/>
        <w:snapToGrid w:val="0"/>
        <w:spacing w:line="600" w:lineRule="exact"/>
        <w:ind w:firstLine="640" w:firstLineChars="200"/>
        <w:rPr>
          <w:rFonts w:ascii="仿宋_GB2312" w:hAnsi="楷体"/>
          <w:szCs w:val="32"/>
        </w:rPr>
      </w:pPr>
    </w:p>
    <w:p>
      <w:pPr>
        <w:adjustRightInd w:val="0"/>
        <w:snapToGrid w:val="0"/>
        <w:spacing w:line="600" w:lineRule="exact"/>
        <w:rPr>
          <w:rFonts w:ascii="仿宋_GB2312" w:hAnsi="楷体"/>
          <w:szCs w:val="32"/>
        </w:rPr>
      </w:pPr>
    </w:p>
    <w:p>
      <w:pPr>
        <w:adjustRightInd w:val="0"/>
        <w:snapToGrid w:val="0"/>
        <w:spacing w:line="600" w:lineRule="exact"/>
        <w:rPr>
          <w:rFonts w:ascii="仿宋_GB2312" w:hAnsi="楷体"/>
          <w:szCs w:val="32"/>
        </w:rPr>
      </w:pP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widowControl/>
              <w:jc w:val="center"/>
              <w:textAlignment w:val="center"/>
              <w:rPr>
                <w:rFonts w:ascii="宋体" w:cs="宋体"/>
                <w:b/>
                <w:bCs/>
                <w:szCs w:val="32"/>
                <w:highlight w:val="none"/>
              </w:rPr>
            </w:pPr>
            <w:r>
              <w:rPr>
                <w:rFonts w:hint="eastAsia" w:ascii="宋体" w:hAnsi="宋体" w:eastAsia="宋体" w:cs="宋体"/>
                <w:b/>
                <w:color w:val="000000"/>
                <w:kern w:val="0"/>
                <w:sz w:val="28"/>
                <w:szCs w:val="28"/>
                <w:highlight w:val="none"/>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highlight w:val="none"/>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highlight w:val="none"/>
              </w:rPr>
              <w:t>项目名称</w:t>
            </w:r>
          </w:p>
        </w:tc>
        <w:tc>
          <w:tcPr>
            <w:tcW w:w="7577" w:type="dxa"/>
            <w:gridSpan w:val="4"/>
            <w:tcBorders>
              <w:tl2br w:val="nil"/>
              <w:tr2bl w:val="nil"/>
            </w:tcBorders>
            <w:noWrap/>
            <w:vAlign w:val="center"/>
          </w:tcPr>
          <w:p>
            <w:pPr>
              <w:jc w:val="center"/>
              <w:rPr>
                <w:rFonts w:hint="default" w:ascii="宋体" w:eastAsia="仿宋_GB2312" w:cs="宋体"/>
                <w:sz w:val="20"/>
                <w:highlight w:val="none"/>
                <w:lang w:val="en-US" w:eastAsia="zh-CN"/>
              </w:rPr>
            </w:pPr>
            <w:r>
              <w:rPr>
                <w:rFonts w:hint="eastAsia" w:ascii="宋体" w:hAnsi="宋体" w:eastAsia="宋体" w:cs="宋体"/>
                <w:color w:val="000000"/>
                <w:kern w:val="0"/>
                <w:sz w:val="20"/>
                <w:highlight w:val="none"/>
                <w:lang w:val="en-US" w:eastAsia="zh-CN"/>
              </w:rPr>
              <w:t>工会经费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主管部门   及代码</w:t>
            </w:r>
          </w:p>
        </w:tc>
        <w:tc>
          <w:tcPr>
            <w:tcW w:w="3349" w:type="dxa"/>
            <w:gridSpan w:val="2"/>
            <w:tcBorders>
              <w:tl2br w:val="nil"/>
              <w:tr2bl w:val="nil"/>
            </w:tcBorders>
            <w:noWrap/>
            <w:vAlign w:val="center"/>
          </w:tcPr>
          <w:p>
            <w:pPr>
              <w:widowControl/>
              <w:jc w:val="center"/>
              <w:textAlignment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宿松县总工会 022</w:t>
            </w:r>
          </w:p>
        </w:tc>
        <w:tc>
          <w:tcPr>
            <w:tcW w:w="1848" w:type="dxa"/>
            <w:tcBorders>
              <w:tl2br w:val="nil"/>
              <w:tr2bl w:val="nil"/>
            </w:tcBorders>
            <w:noWrap/>
            <w:vAlign w:val="center"/>
          </w:tcPr>
          <w:p>
            <w:pPr>
              <w:widowControl/>
              <w:jc w:val="center"/>
              <w:textAlignment w:val="center"/>
            </w:pPr>
            <w:r>
              <w:rPr>
                <w:rFonts w:hint="eastAsia" w:ascii="宋体" w:hAnsi="宋体" w:eastAsia="宋体" w:cs="宋体"/>
                <w:color w:val="000000"/>
                <w:kern w:val="0"/>
                <w:sz w:val="20"/>
              </w:rPr>
              <w:t>实施单位</w:t>
            </w:r>
          </w:p>
        </w:tc>
        <w:tc>
          <w:tcPr>
            <w:tcW w:w="2380" w:type="dxa"/>
            <w:tcBorders>
              <w:tl2br w:val="nil"/>
              <w:tr2bl w:val="nil"/>
            </w:tcBorders>
            <w:noWrap/>
            <w:vAlign w:val="center"/>
          </w:tcPr>
          <w:p>
            <w:pPr>
              <w:widowControl/>
              <w:jc w:val="center"/>
              <w:textAlignment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宿松县总工会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项目来源</w:t>
            </w:r>
          </w:p>
        </w:tc>
        <w:tc>
          <w:tcPr>
            <w:tcW w:w="3349" w:type="dxa"/>
            <w:gridSpan w:val="2"/>
            <w:tcBorders>
              <w:tl2br w:val="nil"/>
              <w:tr2bl w:val="nil"/>
            </w:tcBorders>
            <w:noWrap/>
            <w:vAlign w:val="center"/>
          </w:tcPr>
          <w:p>
            <w:pPr>
              <w:widowControl/>
              <w:jc w:val="center"/>
              <w:textAlignment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县财政年初预算拨款安排</w:t>
            </w:r>
          </w:p>
        </w:tc>
        <w:tc>
          <w:tcPr>
            <w:tcW w:w="1848" w:type="dxa"/>
            <w:tcBorders>
              <w:tl2br w:val="nil"/>
              <w:tr2bl w:val="nil"/>
            </w:tcBorders>
            <w:noWrap/>
            <w:vAlign w:val="center"/>
          </w:tcPr>
          <w:p>
            <w:pPr>
              <w:widowControl/>
              <w:jc w:val="center"/>
              <w:textAlignment w:val="center"/>
            </w:pPr>
            <w:r>
              <w:rPr>
                <w:rFonts w:hint="eastAsia" w:ascii="宋体" w:hAnsi="宋体" w:eastAsia="宋体" w:cs="宋体"/>
                <w:color w:val="000000"/>
                <w:kern w:val="0"/>
                <w:sz w:val="20"/>
              </w:rPr>
              <w:t>项目期</w:t>
            </w:r>
          </w:p>
        </w:tc>
        <w:tc>
          <w:tcPr>
            <w:tcW w:w="2380" w:type="dxa"/>
            <w:tcBorders>
              <w:tl2br w:val="nil"/>
              <w:tr2bl w:val="nil"/>
            </w:tcBorders>
            <w:noWrap/>
            <w:vAlign w:val="center"/>
          </w:tcPr>
          <w:p>
            <w:pPr>
              <w:widowControl/>
              <w:jc w:val="center"/>
              <w:textAlignment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2023年1-12月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项目资金</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（万元）</w:t>
            </w:r>
          </w:p>
        </w:tc>
        <w:tc>
          <w:tcPr>
            <w:tcW w:w="3349"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年度资金总额：</w:t>
            </w:r>
          </w:p>
        </w:tc>
        <w:tc>
          <w:tcPr>
            <w:tcW w:w="4228" w:type="dxa"/>
            <w:gridSpan w:val="2"/>
            <w:tcBorders>
              <w:tl2br w:val="nil"/>
              <w:tr2bl w:val="nil"/>
            </w:tcBorders>
            <w:noWrap/>
            <w:vAlign w:val="center"/>
          </w:tcPr>
          <w:p>
            <w:pPr>
              <w:jc w:val="center"/>
              <w:rPr>
                <w:rFonts w:hint="default" w:ascii="宋体" w:eastAsia="仿宋_GB2312" w:cs="宋体"/>
                <w:sz w:val="20"/>
                <w:lang w:val="en-US" w:eastAsia="zh-CN"/>
              </w:rPr>
            </w:pPr>
            <w:r>
              <w:rPr>
                <w:rFonts w:hint="eastAsia" w:ascii="宋体" w:cs="宋体"/>
                <w:sz w:val="20"/>
                <w:lang w:val="en-US" w:eastAsia="zh-CN"/>
              </w:rPr>
              <w:t>145.37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jc w:val="center"/>
              <w:rPr>
                <w:rFonts w:ascii="宋体" w:cs="宋体"/>
                <w:sz w:val="20"/>
              </w:rPr>
            </w:pPr>
          </w:p>
        </w:tc>
        <w:tc>
          <w:tcPr>
            <w:tcW w:w="3349"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其中：财政拨款</w:t>
            </w:r>
          </w:p>
        </w:tc>
        <w:tc>
          <w:tcPr>
            <w:tcW w:w="4228" w:type="dxa"/>
            <w:gridSpan w:val="2"/>
            <w:tcBorders>
              <w:tl2br w:val="nil"/>
              <w:tr2bl w:val="nil"/>
            </w:tcBorders>
            <w:noWrap/>
            <w:vAlign w:val="center"/>
          </w:tcPr>
          <w:p>
            <w:pPr>
              <w:jc w:val="center"/>
              <w:rPr>
                <w:rFonts w:hint="default" w:ascii="宋体" w:eastAsia="仿宋_GB2312" w:cs="宋体"/>
                <w:sz w:val="20"/>
                <w:lang w:val="en-US" w:eastAsia="zh-CN"/>
              </w:rPr>
            </w:pPr>
            <w:r>
              <w:rPr>
                <w:rFonts w:hint="eastAsia" w:ascii="宋体" w:cs="宋体"/>
                <w:sz w:val="20"/>
                <w:lang w:val="en-US" w:eastAsia="zh-CN"/>
              </w:rPr>
              <w:t>145.37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jc w:val="center"/>
              <w:rPr>
                <w:rFonts w:ascii="宋体" w:cs="宋体"/>
                <w:sz w:val="20"/>
              </w:rPr>
            </w:pPr>
          </w:p>
        </w:tc>
        <w:tc>
          <w:tcPr>
            <w:tcW w:w="3349"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上年结转</w:t>
            </w:r>
          </w:p>
        </w:tc>
        <w:tc>
          <w:tcPr>
            <w:tcW w:w="4228"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jc w:val="center"/>
              <w:rPr>
                <w:rFonts w:ascii="宋体" w:cs="宋体"/>
                <w:sz w:val="20"/>
              </w:rPr>
            </w:pPr>
          </w:p>
        </w:tc>
        <w:tc>
          <w:tcPr>
            <w:tcW w:w="3349"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其他资金</w:t>
            </w:r>
          </w:p>
        </w:tc>
        <w:tc>
          <w:tcPr>
            <w:tcW w:w="4228" w:type="dxa"/>
            <w:gridSpan w:val="2"/>
            <w:tcBorders>
              <w:tl2br w:val="nil"/>
              <w:tr2bl w:val="nil"/>
            </w:tcBorders>
            <w:noWrap/>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年度</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目标</w:t>
            </w:r>
          </w:p>
        </w:tc>
        <w:tc>
          <w:tcPr>
            <w:tcW w:w="8582" w:type="dxa"/>
            <w:gridSpan w:val="6"/>
            <w:tcBorders>
              <w:tl2br w:val="nil"/>
              <w:tr2bl w:val="nil"/>
            </w:tcBorders>
            <w:noWrap/>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目标1：维护机关在职及退休人员的工资福利开支。</w:t>
            </w:r>
          </w:p>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目标2：维护机关日常运营开支。</w:t>
            </w:r>
          </w:p>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目标3：开展维护职工合法权益宣传工作。</w:t>
            </w:r>
          </w:p>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目标4：开展劳模宣讲系列活动。</w:t>
            </w:r>
          </w:p>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目标5：开展全县职工运动会。</w:t>
            </w:r>
          </w:p>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目标6：开展女职工维权普法活动。</w:t>
            </w:r>
          </w:p>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目标7：开展“皖工鹊桥·会聚良缘”青年职工联谊交友活动。</w:t>
            </w:r>
          </w:p>
          <w:p>
            <w:pPr>
              <w:widowControl/>
              <w:jc w:val="left"/>
              <w:textAlignment w:val="center"/>
              <w:rPr>
                <w:rFonts w:ascii="宋体" w:cs="宋体"/>
                <w:sz w:val="20"/>
              </w:rPr>
            </w:pPr>
            <w:r>
              <w:rPr>
                <w:rFonts w:hint="eastAsia" w:ascii="宋体" w:hAnsi="宋体" w:eastAsia="宋体" w:cs="宋体"/>
                <w:color w:val="000000"/>
                <w:kern w:val="0"/>
                <w:sz w:val="20"/>
                <w:lang w:val="en-US" w:eastAsia="zh-CN"/>
              </w:rPr>
              <w:t>目标8：开展女职工“两癌”筛查活动。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绩</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效</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指</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标</w:t>
            </w:r>
          </w:p>
        </w:tc>
        <w:tc>
          <w:tcPr>
            <w:tcW w:w="723" w:type="dxa"/>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一级</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指标</w:t>
            </w: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二级指标</w:t>
            </w:r>
          </w:p>
        </w:tc>
        <w:tc>
          <w:tcPr>
            <w:tcW w:w="2872" w:type="dxa"/>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三级指标</w:t>
            </w:r>
          </w:p>
        </w:tc>
        <w:tc>
          <w:tcPr>
            <w:tcW w:w="4228" w:type="dxa"/>
            <w:gridSpan w:val="2"/>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产出指标</w:t>
            </w: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数量指标</w:t>
            </w:r>
          </w:p>
        </w:tc>
        <w:tc>
          <w:tcPr>
            <w:tcW w:w="2872" w:type="dxa"/>
            <w:tcBorders>
              <w:tl2br w:val="nil"/>
              <w:tr2bl w:val="nil"/>
            </w:tcBorders>
            <w:noWrap/>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rPr>
              <w:t>指标1：</w:t>
            </w:r>
            <w:r>
              <w:rPr>
                <w:rFonts w:hint="eastAsia" w:ascii="宋体" w:hAnsi="宋体" w:eastAsia="宋体" w:cs="宋体"/>
                <w:color w:val="000000"/>
                <w:kern w:val="0"/>
                <w:sz w:val="20"/>
                <w:lang w:val="en-US" w:eastAsia="zh-CN"/>
              </w:rPr>
              <w:t>开展维护职工合法权益宣传工作。</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指标2：开展劳模宣讲系列活动</w:t>
            </w:r>
            <w:r>
              <w:rPr>
                <w:rFonts w:hint="eastAsia" w:ascii="宋体" w:hAnsi="宋体" w:eastAsia="宋体" w:cs="宋体"/>
                <w:color w:val="000000"/>
                <w:kern w:val="0"/>
                <w:sz w:val="20"/>
                <w:lang w:eastAsia="zh-CN"/>
              </w:rPr>
              <w:t>。</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textAlignment w:val="center"/>
              <w:rPr>
                <w:rFonts w:hint="eastAsia" w:ascii="宋体" w:hAnsi="宋体" w:eastAsia="宋体" w:cs="宋体"/>
                <w:color w:val="000000"/>
                <w:kern w:val="0"/>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指标:3：开展全县职工运动会。</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textAlignment w:val="center"/>
              <w:rPr>
                <w:rFonts w:hint="eastAsia" w:ascii="宋体" w:hAnsi="宋体" w:eastAsia="宋体" w:cs="宋体"/>
                <w:color w:val="000000"/>
                <w:kern w:val="0"/>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指标4：女职工维权普法活动。</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textAlignment w:val="center"/>
              <w:rPr>
                <w:rFonts w:hint="eastAsia" w:ascii="宋体" w:hAnsi="宋体" w:eastAsia="宋体" w:cs="宋体"/>
                <w:color w:val="000000"/>
                <w:kern w:val="0"/>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指标5：开展“皖工鹊桥·会聚良缘”青年职工联谊交友活动。</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textAlignment w:val="center"/>
              <w:rPr>
                <w:rFonts w:hint="eastAsia" w:ascii="宋体" w:hAnsi="宋体" w:eastAsia="宋体" w:cs="宋体"/>
                <w:color w:val="000000"/>
                <w:kern w:val="0"/>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指标6：开展女职工“两癌”筛查活动。</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质量指标</w:t>
            </w: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指标1：</w:t>
            </w:r>
            <w:r>
              <w:rPr>
                <w:rFonts w:hint="eastAsia" w:ascii="宋体" w:hAnsi="宋体" w:eastAsia="宋体" w:cs="宋体"/>
                <w:color w:val="000000"/>
                <w:kern w:val="0"/>
                <w:sz w:val="20"/>
                <w:lang w:val="en-US" w:eastAsia="zh-CN"/>
              </w:rPr>
              <w:t>全年各项活动开展达标率</w:t>
            </w:r>
            <w:r>
              <w:rPr>
                <w:rFonts w:hint="eastAsia" w:ascii="宋体" w:hAnsi="宋体" w:eastAsia="宋体" w:cs="宋体"/>
                <w:color w:val="000000"/>
                <w:kern w:val="0"/>
                <w:sz w:val="20"/>
              </w:rPr>
              <w:t>。</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2872"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lang w:val="en-US" w:eastAsia="zh-CN"/>
              </w:rPr>
              <w:t>指标2：资金支出的合规性</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时效指标</w:t>
            </w:r>
          </w:p>
        </w:tc>
        <w:tc>
          <w:tcPr>
            <w:tcW w:w="2872"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lang w:val="en-US" w:eastAsia="zh-CN"/>
              </w:rPr>
              <w:t>指标1：全年各项活动开展工作完成率。</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指标2：职工合法权益宣传工作完成时间</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指标3：劳模宣讲系列活动完成时间</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指标4：全县职工运动会活动完成时间</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指标5：女职工维权普法活动完成时间</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指标6：开展“皖工鹊桥·会聚良缘”青年职工联谊交友活动</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指标7：开展女职工“两癌”筛查活动</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成本指标</w:t>
            </w:r>
          </w:p>
          <w:p>
            <w:pPr>
              <w:widowControl/>
              <w:jc w:val="center"/>
              <w:textAlignment w:val="center"/>
              <w:rPr>
                <w:rFonts w:ascii="宋体" w:cs="宋体"/>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指标1：保障社会招聘职工薪资福利费用</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2872" w:type="dxa"/>
            <w:tcBorders>
              <w:tl2br w:val="nil"/>
              <w:tr2bl w:val="nil"/>
            </w:tcBorders>
            <w:noWrap/>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指标2：机关日常运营开支。</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≤89.37万元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效益指标</w:t>
            </w: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社会效益指标</w:t>
            </w:r>
          </w:p>
        </w:tc>
        <w:tc>
          <w:tcPr>
            <w:tcW w:w="2872"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lang w:val="en-US" w:eastAsia="zh-CN"/>
              </w:rPr>
              <w:t>指标1：提升扩大宿松县总工会对外影响，增强全县职工的幸福感、获得感、安全感。</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tcBorders>
              <w:tl2br w:val="nil"/>
              <w:tr2bl w:val="nil"/>
            </w:tcBorders>
            <w:noWrap/>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lang w:val="en-US" w:eastAsia="zh-CN"/>
              </w:rPr>
              <w:t>指标1：持续提升工会品牌，在职工中形成有较大影响力。</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长期持续影响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noWrap/>
            <w:vAlign w:val="center"/>
          </w:tcPr>
          <w:p>
            <w:pPr>
              <w:jc w:val="center"/>
              <w:rPr>
                <w:rFonts w:ascii="宋体" w:cs="宋体"/>
                <w:sz w:val="20"/>
              </w:rPr>
            </w:pPr>
          </w:p>
        </w:tc>
        <w:tc>
          <w:tcPr>
            <w:tcW w:w="723" w:type="dxa"/>
            <w:tcBorders>
              <w:tl2br w:val="nil"/>
              <w:tr2bl w:val="nil"/>
            </w:tcBorders>
            <w:noWrap/>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lang w:val="en-US" w:eastAsia="zh-CN"/>
              </w:rPr>
              <w:t>指标1：服务对象的满意度。</w:t>
            </w:r>
          </w:p>
        </w:tc>
        <w:tc>
          <w:tcPr>
            <w:tcW w:w="4228" w:type="dxa"/>
            <w:gridSpan w:val="2"/>
            <w:tcBorders>
              <w:tl2br w:val="nil"/>
              <w:tr2bl w:val="nil"/>
            </w:tcBorders>
            <w:noWrap/>
            <w:vAlign w:val="center"/>
          </w:tcPr>
          <w:p>
            <w:pPr>
              <w:widowControl/>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≧98%</w:t>
            </w:r>
          </w:p>
        </w:tc>
      </w:tr>
    </w:tbl>
    <w:p>
      <w:pPr>
        <w:adjustRightInd w:val="0"/>
        <w:snapToGrid w:val="0"/>
        <w:spacing w:line="520" w:lineRule="exact"/>
        <w:rPr>
          <w:rFonts w:ascii="黑体" w:hAnsi="黑体" w:eastAsia="黑体"/>
          <w:szCs w:val="32"/>
        </w:rPr>
      </w:pPr>
    </w:p>
    <w:p>
      <w:pPr>
        <w:adjustRightInd w:val="0"/>
        <w:snapToGrid w:val="0"/>
        <w:spacing w:line="520" w:lineRule="exact"/>
        <w:ind w:firstLine="643" w:firstLineChars="200"/>
        <w:rPr>
          <w:rFonts w:ascii="TimesNewRoman" w:hAnsi="TimesNewRoman" w:eastAsia="楷体_GB2312" w:cs="TimesNewRoman"/>
          <w:sz w:val="32"/>
          <w:szCs w:val="32"/>
          <w:highlight w:val="none"/>
        </w:rPr>
      </w:pPr>
      <w:r>
        <w:rPr>
          <w:rFonts w:ascii="TimesNewRoman" w:hAnsi="TimesNewRoman" w:cs="TimesNewRoman"/>
          <w:b/>
          <w:szCs w:val="32"/>
          <w:highlight w:val="none"/>
        </w:rPr>
        <w:t>（二）机关运行经费。</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kern w:val="0"/>
          <w:szCs w:val="32"/>
        </w:rPr>
        <w:t>宿松县</w:t>
      </w:r>
      <w:r>
        <w:rPr>
          <w:rFonts w:hint="eastAsia" w:ascii="TimesNewRoman" w:hAnsi="TimesNewRoman" w:cs="TimesNewRoman"/>
          <w:kern w:val="0"/>
          <w:szCs w:val="32"/>
          <w:lang w:val="en-US" w:eastAsia="zh-CN"/>
        </w:rPr>
        <w:t>总工会</w:t>
      </w:r>
      <w:r>
        <w:rPr>
          <w:rFonts w:ascii="TimesNewRoman" w:hAnsi="TimesNewRoman" w:cs="TimesNewRoman"/>
          <w:szCs w:val="32"/>
        </w:rPr>
        <w:t>2023年机关运行经费财政拨款预算</w:t>
      </w:r>
      <w:r>
        <w:rPr>
          <w:rFonts w:hint="eastAsia" w:ascii="TimesNewRoman" w:hAnsi="TimesNewRoman" w:cs="TimesNewRoman"/>
          <w:szCs w:val="32"/>
          <w:lang w:val="en-US" w:eastAsia="zh-CN"/>
        </w:rPr>
        <w:t>89.37</w:t>
      </w:r>
      <w:r>
        <w:rPr>
          <w:rFonts w:ascii="TimesNewRoman" w:hAnsi="TimesNewRoman" w:cs="TimesNewRoman"/>
          <w:szCs w:val="32"/>
        </w:rPr>
        <w:t>万元，比2022年预算增加</w:t>
      </w:r>
      <w:r>
        <w:rPr>
          <w:rFonts w:hint="eastAsia" w:ascii="TimesNewRoman" w:hAnsi="TimesNewRoman" w:cs="TimesNewRoman"/>
          <w:szCs w:val="32"/>
          <w:lang w:val="en-US" w:eastAsia="zh-CN"/>
        </w:rPr>
        <w:t>35.17</w:t>
      </w:r>
      <w:r>
        <w:rPr>
          <w:rFonts w:ascii="TimesNewRoman" w:hAnsi="TimesNewRoman" w:cs="TimesNewRoman"/>
          <w:szCs w:val="32"/>
        </w:rPr>
        <w:t>万元，增长</w:t>
      </w:r>
      <w:r>
        <w:rPr>
          <w:rFonts w:hint="eastAsia" w:ascii="TimesNewRoman" w:hAnsi="TimesNewRoman" w:cs="TimesNewRoman"/>
          <w:szCs w:val="32"/>
          <w:lang w:val="en-US" w:eastAsia="zh-CN"/>
        </w:rPr>
        <w:t>64.89</w:t>
      </w:r>
      <w:r>
        <w:rPr>
          <w:rFonts w:ascii="TimesNewRoman" w:hAnsi="TimesNewRoman" w:cs="TimesNewRoman"/>
          <w:szCs w:val="32"/>
        </w:rPr>
        <w:t>%，增长主要原因</w:t>
      </w:r>
      <w:r>
        <w:rPr>
          <w:rFonts w:hint="eastAsia" w:ascii="TimesNewRoman" w:hAnsi="TimesNewRoman" w:cs="TimesNewRoman"/>
          <w:szCs w:val="32"/>
          <w:lang w:val="en-US" w:eastAsia="zh-CN"/>
        </w:rPr>
        <w:t>一</w:t>
      </w:r>
      <w:r>
        <w:rPr>
          <w:rFonts w:ascii="TimesNewRoman" w:hAnsi="TimesNewRoman" w:cs="TimesNewRoman"/>
          <w:szCs w:val="32"/>
        </w:rPr>
        <w:t>是</w:t>
      </w:r>
      <w:r>
        <w:rPr>
          <w:rFonts w:hint="eastAsia" w:ascii="TimesNewRoman" w:hAnsi="TimesNewRoman" w:cs="TimesNewRoman"/>
          <w:szCs w:val="32"/>
          <w:lang w:val="en-US" w:eastAsia="zh-CN"/>
        </w:rPr>
        <w:t>人员的增加，二是</w:t>
      </w:r>
      <w:r>
        <w:rPr>
          <w:rFonts w:hint="eastAsia" w:ascii="仿宋_GB2312" w:hAnsi="仿宋" w:eastAsia="仿宋_GB2312"/>
          <w:sz w:val="32"/>
          <w:szCs w:val="32"/>
          <w:lang w:eastAsia="zh-CN"/>
        </w:rPr>
        <w:t>围绕全省工会“42101”重点工作开展的各项活动费用</w:t>
      </w:r>
      <w:r>
        <w:rPr>
          <w:rFonts w:ascii="TimesNewRoman" w:hAnsi="TimesNewRoman" w:cs="TimesNewRoman"/>
          <w:szCs w:val="32"/>
        </w:rPr>
        <w:t>。</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（三）政府采购情况。</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kern w:val="0"/>
          <w:szCs w:val="32"/>
        </w:rPr>
        <w:t>宿松县</w:t>
      </w:r>
      <w:r>
        <w:rPr>
          <w:rFonts w:hint="eastAsia" w:ascii="TimesNewRoman" w:hAnsi="TimesNewRoman" w:cs="TimesNewRoman"/>
          <w:kern w:val="0"/>
          <w:szCs w:val="32"/>
          <w:lang w:val="en-US" w:eastAsia="zh-CN"/>
        </w:rPr>
        <w:t>总工会</w:t>
      </w:r>
      <w:r>
        <w:rPr>
          <w:rFonts w:ascii="TimesNewRoman" w:hAnsi="TimesNewRoman" w:cs="TimesNewRoman"/>
          <w:szCs w:val="32"/>
        </w:rPr>
        <w:t>2023年政府采购预算</w:t>
      </w:r>
      <w:r>
        <w:rPr>
          <w:rFonts w:hint="eastAsia" w:ascii="TimesNewRoman" w:hAnsi="TimesNewRoman" w:cs="TimesNewRoman"/>
          <w:szCs w:val="32"/>
          <w:lang w:val="en-US" w:eastAsia="zh-CN"/>
        </w:rPr>
        <w:t>0</w:t>
      </w:r>
      <w:r>
        <w:rPr>
          <w:rFonts w:ascii="TimesNewRoman" w:hAnsi="TimesNewRoman" w:cs="TimesNewRoman"/>
          <w:szCs w:val="32"/>
        </w:rPr>
        <w:t>万元。其中：政府采购货物预算</w:t>
      </w:r>
      <w:r>
        <w:rPr>
          <w:rFonts w:hint="eastAsia" w:ascii="TimesNewRoman" w:hAnsi="TimesNewRoman" w:cs="TimesNewRoman"/>
          <w:szCs w:val="32"/>
          <w:lang w:val="en-US" w:eastAsia="zh-CN"/>
        </w:rPr>
        <w:t>0</w:t>
      </w:r>
      <w:r>
        <w:rPr>
          <w:rFonts w:ascii="TimesNewRoman" w:hAnsi="TimesNewRoman" w:cs="TimesNewRoman"/>
          <w:szCs w:val="32"/>
        </w:rPr>
        <w:t>万元，政府采购工程预算</w:t>
      </w:r>
      <w:r>
        <w:rPr>
          <w:rFonts w:hint="eastAsia" w:ascii="TimesNewRoman" w:hAnsi="TimesNewRoman" w:cs="TimesNewRoman"/>
          <w:szCs w:val="32"/>
          <w:lang w:val="en-US" w:eastAsia="zh-CN"/>
        </w:rPr>
        <w:t>0</w:t>
      </w:r>
      <w:r>
        <w:rPr>
          <w:rFonts w:ascii="TimesNewRoman" w:hAnsi="TimesNewRoman" w:cs="TimesNewRoman"/>
          <w:szCs w:val="32"/>
        </w:rPr>
        <w:t>万元，政府采购服务预算</w:t>
      </w:r>
      <w:r>
        <w:rPr>
          <w:rFonts w:hint="eastAsia" w:ascii="TimesNewRoman" w:hAnsi="TimesNewRoman" w:cs="TimesNewRoman"/>
          <w:szCs w:val="32"/>
          <w:lang w:val="en-US" w:eastAsia="zh-CN"/>
        </w:rPr>
        <w:t>0</w:t>
      </w:r>
      <w:r>
        <w:rPr>
          <w:rFonts w:ascii="TimesNewRoman" w:hAnsi="TimesNewRoman" w:cs="TimesNewRoman"/>
          <w:szCs w:val="32"/>
        </w:rPr>
        <w:t>万元。</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（四）国有资产占有使用情况。</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截至2022年12月31日，</w:t>
      </w:r>
      <w:r>
        <w:rPr>
          <w:rFonts w:hint="eastAsia" w:ascii="TimesNewRoman" w:hAnsi="TimesNewRoman" w:cs="TimesNewRoman"/>
          <w:kern w:val="0"/>
          <w:szCs w:val="32"/>
        </w:rPr>
        <w:t>宿松县</w:t>
      </w:r>
      <w:r>
        <w:rPr>
          <w:rFonts w:hint="eastAsia" w:ascii="TimesNewRoman" w:hAnsi="TimesNewRoman" w:cs="TimesNewRoman"/>
          <w:kern w:val="0"/>
          <w:szCs w:val="32"/>
          <w:lang w:val="en-US" w:eastAsia="zh-CN"/>
        </w:rPr>
        <w:t>总工会</w:t>
      </w:r>
      <w:r>
        <w:rPr>
          <w:rFonts w:ascii="TimesNewRoman" w:hAnsi="TimesNewRoman" w:cs="TimesNewRoman"/>
          <w:szCs w:val="32"/>
        </w:rPr>
        <w:t>共有车辆</w:t>
      </w:r>
      <w:r>
        <w:rPr>
          <w:rFonts w:hint="eastAsia" w:ascii="TimesNewRoman" w:hAnsi="TimesNewRoman" w:cs="TimesNewRoman"/>
          <w:szCs w:val="32"/>
          <w:lang w:val="en-US" w:eastAsia="zh-CN"/>
        </w:rPr>
        <w:t>0</w:t>
      </w:r>
      <w:r>
        <w:rPr>
          <w:rFonts w:ascii="TimesNewRoman" w:hAnsi="TimesNewRoman" w:cs="TimesNewRoman"/>
          <w:szCs w:val="32"/>
        </w:rPr>
        <w:t>辆，。单价50万元以上的通用设备</w:t>
      </w:r>
      <w:r>
        <w:rPr>
          <w:rFonts w:hint="eastAsia" w:ascii="TimesNewRoman" w:hAnsi="TimesNewRoman" w:cs="TimesNewRoman"/>
          <w:szCs w:val="32"/>
          <w:lang w:val="en-US" w:eastAsia="zh-CN"/>
        </w:rPr>
        <w:t>0</w:t>
      </w:r>
      <w:r>
        <w:rPr>
          <w:rFonts w:ascii="TimesNewRoman" w:hAnsi="TimesNewRoman" w:cs="TimesNewRoman"/>
          <w:szCs w:val="32"/>
        </w:rPr>
        <w:t>台（套），单价100万元以上的专用设备</w:t>
      </w:r>
      <w:r>
        <w:rPr>
          <w:rFonts w:hint="eastAsia" w:ascii="TimesNewRoman" w:hAnsi="TimesNewRoman" w:cs="TimesNewRoman"/>
          <w:szCs w:val="32"/>
          <w:lang w:val="en-US" w:eastAsia="zh-CN"/>
        </w:rPr>
        <w:t>0</w:t>
      </w:r>
      <w:r>
        <w:rPr>
          <w:rFonts w:ascii="TimesNewRoman" w:hAnsi="TimesNewRoman" w:cs="TimesNewRoman"/>
          <w:szCs w:val="32"/>
        </w:rPr>
        <w:t>台（套）。</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2023年部门预算安排购置公务用车</w:t>
      </w:r>
      <w:r>
        <w:rPr>
          <w:rFonts w:hint="eastAsia" w:ascii="TimesNewRoman" w:hAnsi="TimesNewRoman" w:cs="TimesNewRoman"/>
          <w:szCs w:val="32"/>
          <w:lang w:val="en-US" w:eastAsia="zh-CN"/>
        </w:rPr>
        <w:t>0</w:t>
      </w:r>
      <w:r>
        <w:rPr>
          <w:rFonts w:ascii="TimesNewRoman" w:hAnsi="TimesNewRoman" w:cs="TimesNewRoman"/>
          <w:szCs w:val="32"/>
        </w:rPr>
        <w:t>辆，购置费</w:t>
      </w:r>
      <w:r>
        <w:rPr>
          <w:rFonts w:hint="eastAsia" w:ascii="TimesNewRoman" w:hAnsi="TimesNewRoman" w:cs="TimesNewRoman"/>
          <w:szCs w:val="32"/>
          <w:lang w:val="en-US" w:eastAsia="zh-CN"/>
        </w:rPr>
        <w:t>0</w:t>
      </w:r>
      <w:r>
        <w:rPr>
          <w:rFonts w:ascii="TimesNewRoman" w:hAnsi="TimesNewRoman" w:cs="TimesNewRoman"/>
          <w:szCs w:val="32"/>
        </w:rPr>
        <w:t>万元，安排购置单价50万元以上的通用设备</w:t>
      </w:r>
      <w:r>
        <w:rPr>
          <w:rFonts w:hint="eastAsia" w:ascii="TimesNewRoman" w:hAnsi="TimesNewRoman" w:cs="TimesNewRoman"/>
          <w:szCs w:val="32"/>
          <w:lang w:val="en-US" w:eastAsia="zh-CN"/>
        </w:rPr>
        <w:t>0</w:t>
      </w:r>
      <w:r>
        <w:rPr>
          <w:rFonts w:ascii="TimesNewRoman" w:hAnsi="TimesNewRoman" w:cs="TimesNewRoman"/>
          <w:szCs w:val="32"/>
        </w:rPr>
        <w:t>台（套），购置费</w:t>
      </w:r>
      <w:r>
        <w:rPr>
          <w:rFonts w:hint="eastAsia" w:ascii="TimesNewRoman" w:hAnsi="TimesNewRoman" w:cs="TimesNewRoman"/>
          <w:szCs w:val="32"/>
          <w:lang w:val="en-US" w:eastAsia="zh-CN"/>
        </w:rPr>
        <w:t>0</w:t>
      </w:r>
      <w:r>
        <w:rPr>
          <w:rFonts w:ascii="TimesNewRoman" w:hAnsi="TimesNewRoman" w:cs="TimesNewRoman"/>
          <w:szCs w:val="32"/>
        </w:rPr>
        <w:t>万元；安排购置单价100万元以上专用设备</w:t>
      </w:r>
      <w:r>
        <w:rPr>
          <w:rFonts w:hint="eastAsia" w:ascii="TimesNewRoman" w:hAnsi="TimesNewRoman" w:cs="TimesNewRoman"/>
          <w:szCs w:val="32"/>
          <w:lang w:val="en-US" w:eastAsia="zh-CN"/>
        </w:rPr>
        <w:t>0</w:t>
      </w:r>
      <w:r>
        <w:rPr>
          <w:rFonts w:ascii="TimesNewRoman" w:hAnsi="TimesNewRoman" w:cs="TimesNewRoman"/>
          <w:szCs w:val="32"/>
        </w:rPr>
        <w:t>台（套），购置费</w:t>
      </w:r>
      <w:r>
        <w:rPr>
          <w:rFonts w:hint="eastAsia" w:ascii="TimesNewRoman" w:hAnsi="TimesNewRoman" w:cs="TimesNewRoman"/>
          <w:szCs w:val="32"/>
          <w:lang w:val="en-US" w:eastAsia="zh-CN"/>
        </w:rPr>
        <w:t>0</w:t>
      </w:r>
      <w:r>
        <w:rPr>
          <w:rFonts w:ascii="TimesNewRoman" w:hAnsi="TimesNewRoman" w:cs="TimesNewRoman"/>
          <w:szCs w:val="32"/>
        </w:rPr>
        <w:t>万元。</w:t>
      </w:r>
    </w:p>
    <w:p>
      <w:pPr>
        <w:adjustRightInd w:val="0"/>
        <w:snapToGrid w:val="0"/>
        <w:spacing w:line="560" w:lineRule="exact"/>
        <w:ind w:firstLine="643" w:firstLineChars="200"/>
        <w:rPr>
          <w:rFonts w:ascii="TimesNewRoman" w:hAnsi="TimesNewRoman" w:cs="TimesNewRoman"/>
          <w:b/>
          <w:szCs w:val="32"/>
          <w:highlight w:val="none"/>
        </w:rPr>
      </w:pPr>
      <w:r>
        <w:rPr>
          <w:rFonts w:ascii="TimesNewRoman" w:hAnsi="TimesNewRoman" w:cs="TimesNewRoman"/>
          <w:b/>
          <w:szCs w:val="32"/>
          <w:highlight w:val="none"/>
        </w:rPr>
        <w:t>（五）绩效目标设置情况。</w:t>
      </w:r>
    </w:p>
    <w:p>
      <w:pPr>
        <w:adjustRightInd w:val="0"/>
        <w:snapToGrid w:val="0"/>
        <w:spacing w:line="560" w:lineRule="exact"/>
        <w:ind w:firstLine="640" w:firstLineChars="200"/>
        <w:outlineLvl w:val="0"/>
        <w:rPr>
          <w:rFonts w:ascii="TimesNewRoman" w:hAnsi="TimesNewRoman" w:cs="TimesNewRoman"/>
          <w:szCs w:val="32"/>
        </w:rPr>
      </w:pPr>
      <w:r>
        <w:rPr>
          <w:rFonts w:ascii="TimesNewRoman" w:hAnsi="TimesNewRoman" w:cs="TimesNewRoman"/>
          <w:szCs w:val="32"/>
          <w:highlight w:val="none"/>
        </w:rPr>
        <w:t>2023年，</w:t>
      </w:r>
      <w:r>
        <w:rPr>
          <w:rFonts w:hint="eastAsia" w:ascii="TimesNewRoman" w:hAnsi="TimesNewRoman" w:cs="TimesNewRoman"/>
          <w:kern w:val="0"/>
          <w:szCs w:val="32"/>
          <w:highlight w:val="none"/>
        </w:rPr>
        <w:t>宿松县</w:t>
      </w:r>
      <w:r>
        <w:rPr>
          <w:rFonts w:hint="eastAsia" w:ascii="TimesNewRoman" w:hAnsi="TimesNewRoman" w:cs="TimesNewRoman"/>
          <w:kern w:val="0"/>
          <w:szCs w:val="32"/>
          <w:highlight w:val="none"/>
          <w:lang w:val="en-US" w:eastAsia="zh-CN"/>
        </w:rPr>
        <w:t>总工会</w:t>
      </w:r>
      <w:r>
        <w:rPr>
          <w:rFonts w:hint="eastAsia" w:ascii="TimesNewRoman" w:hAnsi="TimesNewRoman" w:cs="TimesNewRoman"/>
          <w:szCs w:val="32"/>
          <w:highlight w:val="none"/>
          <w:lang w:val="en-US" w:eastAsia="zh-CN"/>
        </w:rPr>
        <w:t>1</w:t>
      </w:r>
      <w:r>
        <w:rPr>
          <w:rFonts w:ascii="TimesNewRoman" w:hAnsi="TimesNewRoman" w:cs="TimesNewRoman"/>
          <w:szCs w:val="32"/>
          <w:highlight w:val="none"/>
        </w:rPr>
        <w:t>个项目实行了绩效目标管理，涉及一般公共预算当年财政拨款</w:t>
      </w:r>
      <w:r>
        <w:rPr>
          <w:rFonts w:hint="eastAsia" w:ascii="TimesNewRoman" w:hAnsi="TimesNewRoman" w:cs="TimesNewRoman"/>
          <w:szCs w:val="32"/>
          <w:highlight w:val="none"/>
          <w:lang w:val="en-US" w:eastAsia="zh-CN"/>
        </w:rPr>
        <w:t>145.37</w:t>
      </w:r>
      <w:r>
        <w:rPr>
          <w:rFonts w:ascii="TimesNewRoman" w:hAnsi="TimesNewRoman" w:cs="TimesNewRoman"/>
          <w:szCs w:val="32"/>
        </w:rPr>
        <w:t>万元、政府性基金预算当年财政拨款</w:t>
      </w:r>
      <w:r>
        <w:rPr>
          <w:rFonts w:hint="eastAsia" w:ascii="TimesNewRoman" w:hAnsi="TimesNewRoman" w:cs="TimesNewRoman"/>
          <w:szCs w:val="32"/>
          <w:lang w:val="en-US" w:eastAsia="zh-CN"/>
        </w:rPr>
        <w:t>0</w:t>
      </w:r>
      <w:r>
        <w:rPr>
          <w:rFonts w:ascii="TimesNewRoman" w:hAnsi="TimesNewRoman" w:cs="TimesNewRoman"/>
          <w:szCs w:val="32"/>
        </w:rPr>
        <w:t>万元、国有资本经营预算当年财政拨款</w:t>
      </w:r>
      <w:r>
        <w:rPr>
          <w:rFonts w:hint="eastAsia" w:ascii="TimesNewRoman" w:hAnsi="TimesNewRoman" w:cs="TimesNewRoman"/>
          <w:szCs w:val="32"/>
          <w:lang w:val="en-US" w:eastAsia="zh-CN"/>
        </w:rPr>
        <w:t>0</w:t>
      </w:r>
      <w:r>
        <w:rPr>
          <w:rFonts w:ascii="TimesNewRoman" w:hAnsi="TimesNewRoman" w:cs="TimesNewRoman"/>
          <w:szCs w:val="32"/>
        </w:rPr>
        <w:t>万元、财政专户管理资金当年安排</w:t>
      </w:r>
      <w:r>
        <w:rPr>
          <w:rFonts w:hint="eastAsia" w:ascii="TimesNewRoman" w:hAnsi="TimesNewRoman" w:cs="TimesNewRoman"/>
          <w:szCs w:val="32"/>
          <w:lang w:val="en-US" w:eastAsia="zh-CN"/>
        </w:rPr>
        <w:t>0</w:t>
      </w:r>
      <w:r>
        <w:rPr>
          <w:rFonts w:ascii="TimesNewRoman" w:hAnsi="TimesNewRoman" w:cs="TimesNewRoman"/>
          <w:szCs w:val="32"/>
        </w:rPr>
        <w:t>万元和单位资金当年安排</w:t>
      </w:r>
      <w:r>
        <w:rPr>
          <w:rFonts w:hint="eastAsia" w:ascii="TimesNewRoman" w:hAnsi="TimesNewRoman" w:cs="TimesNewRoman"/>
          <w:szCs w:val="32"/>
          <w:lang w:val="en-US" w:eastAsia="zh-CN"/>
        </w:rPr>
        <w:t>0</w:t>
      </w:r>
      <w:r>
        <w:rPr>
          <w:rFonts w:ascii="TimesNewRoman" w:hAnsi="TimesNewRoman" w:cs="TimesNewRoman"/>
          <w:szCs w:val="32"/>
        </w:rPr>
        <w:t>万元。</w:t>
      </w: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adjustRightInd w:val="0"/>
        <w:snapToGrid w:val="0"/>
        <w:spacing w:line="560" w:lineRule="exact"/>
        <w:jc w:val="both"/>
        <w:rPr>
          <w:rFonts w:ascii="TimesNewRoman" w:hAnsi="TimesNewRoman" w:eastAsia="黑体" w:cs="TimesNewRoman"/>
          <w:sz w:val="36"/>
          <w:szCs w:val="36"/>
        </w:rPr>
      </w:pPr>
    </w:p>
    <w:p>
      <w:pPr>
        <w:pStyle w:val="2"/>
      </w:pPr>
    </w:p>
    <w:p>
      <w:pPr>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adjustRightInd w:val="0"/>
        <w:snapToGrid w:val="0"/>
        <w:spacing w:line="560" w:lineRule="exact"/>
        <w:jc w:val="center"/>
        <w:rPr>
          <w:rFonts w:ascii="TimesNewRoman" w:hAnsi="TimesNewRoman" w:eastAsia="黑体" w:cs="TimesNewRoman"/>
          <w:szCs w:val="32"/>
        </w:rPr>
      </w:pPr>
    </w:p>
    <w:p>
      <w:pPr>
        <w:adjustRightInd w:val="0"/>
        <w:snapToGrid w:val="0"/>
        <w:spacing w:line="560" w:lineRule="exact"/>
        <w:ind w:firstLine="640" w:firstLineChars="200"/>
        <w:rPr>
          <w:rFonts w:ascii="TimesNewRoman" w:hAnsi="TimesNewRoman" w:cs="TimesNewRoman"/>
          <w:szCs w:val="32"/>
        </w:rPr>
      </w:pPr>
      <w:r>
        <w:rPr>
          <w:rFonts w:ascii="TimesNewRoman" w:hAnsi="TimesNewRoman" w:eastAsia="黑体" w:cs="TimesNewRoman"/>
          <w:szCs w:val="32"/>
        </w:rPr>
        <w:t>一、财政拨款收入</w:t>
      </w:r>
      <w:r>
        <w:rPr>
          <w:rFonts w:ascii="TimesNewRoman" w:hAnsi="TimesNewRoman" w:cs="TimesNewRoman"/>
          <w:b/>
          <w:szCs w:val="32"/>
        </w:rPr>
        <w:t>：</w:t>
      </w:r>
      <w:r>
        <w:rPr>
          <w:rFonts w:ascii="TimesNewRoman" w:hAnsi="TimesNewRoman" w:cs="TimesNewRoman"/>
          <w:szCs w:val="32"/>
        </w:rPr>
        <w:t>指部门或单位从同级财政部门取得的财政预算资金。</w:t>
      </w:r>
    </w:p>
    <w:p>
      <w:pPr>
        <w:pStyle w:val="6"/>
        <w:adjustRightInd w:val="0"/>
        <w:snapToGrid w:val="0"/>
        <w:spacing w:line="560" w:lineRule="exact"/>
        <w:ind w:firstLine="627" w:firstLineChars="196"/>
        <w:rPr>
          <w:rFonts w:ascii="TimesNewRoman" w:hAnsi="TimesNewRoman" w:eastAsia="黑体" w:cs="TimesNewRoman"/>
          <w:sz w:val="32"/>
          <w:szCs w:val="32"/>
        </w:rPr>
      </w:pPr>
      <w:r>
        <w:rPr>
          <w:rFonts w:ascii="TimesNewRoman" w:hAnsi="TimesNewRoman" w:eastAsia="黑体" w:cs="TimesNewRoman"/>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八、基本支出</w:t>
      </w:r>
      <w:r>
        <w:rPr>
          <w:rFonts w:ascii="TimesNewRoman" w:hAnsi="TimesNewRoman" w:eastAsia="仿宋_GB2312" w:cs="TimesNewRoman"/>
          <w:b/>
          <w:sz w:val="32"/>
          <w:szCs w:val="32"/>
        </w:rPr>
        <w:t>：</w:t>
      </w:r>
      <w:r>
        <w:rPr>
          <w:rFonts w:ascii="TimesNewRoman" w:hAnsi="TimesNewRoman" w:eastAsia="仿宋_GB2312" w:cs="TimesNewRoman"/>
          <w:sz w:val="32"/>
          <w:szCs w:val="32"/>
        </w:rPr>
        <w:t>指为保障机构正常运转、完成日常工作任务而发生的人员支出和公用支出。</w:t>
      </w:r>
    </w:p>
    <w:p>
      <w:pPr>
        <w:pStyle w:val="6"/>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九、项目支出</w:t>
      </w:r>
      <w:r>
        <w:rPr>
          <w:rFonts w:ascii="TimesNewRoman" w:hAnsi="TimesNewRoman" w:eastAsia="仿宋_GB2312" w:cs="TimesNewRoman"/>
          <w:b/>
          <w:sz w:val="32"/>
          <w:szCs w:val="32"/>
        </w:rPr>
        <w:t>：</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TimesNewRoman" w:hAnsi="TimesNewRoman" w:eastAsia="黑体" w:cs="TimesNewRoman"/>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6"/>
        <w:adjustRightInd w:val="0"/>
        <w:snapToGrid w:val="0"/>
        <w:spacing w:line="560" w:lineRule="exact"/>
        <w:ind w:firstLine="627" w:firstLineChars="196"/>
        <w:rPr>
          <w:rFonts w:ascii="TimesNewRoman" w:hAnsi="TimesNewRoman" w:eastAsia="仿宋_GB2312" w:cs="TimesNewRoman"/>
          <w:sz w:val="32"/>
          <w:szCs w:val="32"/>
          <w:highlight w:val="yellow"/>
        </w:rPr>
      </w:pPr>
      <w:r>
        <w:rPr>
          <w:rFonts w:ascii="TimesNewRoman" w:hAnsi="TimesNewRoman" w:eastAsia="黑体" w:cs="TimesNewRoman"/>
          <w:sz w:val="32"/>
          <w:szCs w:val="32"/>
          <w:highlight w:val="yellow"/>
        </w:rPr>
        <w:t>十一、一般公共服务支出（类）XX事务（款）XX（项）：</w:t>
      </w:r>
      <w:r>
        <w:rPr>
          <w:rFonts w:ascii="TimesNewRoman" w:hAnsi="TimesNewRoman" w:eastAsia="仿宋_GB2312" w:cs="TimesNewRoman"/>
          <w:sz w:val="32"/>
          <w:szCs w:val="32"/>
          <w:highlight w:val="yellow"/>
        </w:rPr>
        <w:t>反映XX（部门、单位）用于....方面的支出。（根据部门预算</w:t>
      </w:r>
      <w:r>
        <w:rPr>
          <w:rFonts w:ascii="TimesNewRoman" w:hAnsi="TimesNewRoman" w:eastAsia="楷体_GB2312" w:cs="TimesNewRoman"/>
          <w:sz w:val="32"/>
          <w:szCs w:val="32"/>
          <w:highlight w:val="yellow"/>
        </w:rPr>
        <w:t>实际对重要的支出功能科目进行解释</w:t>
      </w:r>
      <w:r>
        <w:rPr>
          <w:rFonts w:ascii="TimesNewRoman" w:hAnsi="TimesNewRoman" w:eastAsia="仿宋_GB2312" w:cs="TimesNewRoman"/>
          <w:sz w:val="32"/>
          <w:szCs w:val="32"/>
          <w:highlight w:val="yellow"/>
        </w:rPr>
        <w:t>）</w:t>
      </w:r>
    </w:p>
    <w:p>
      <w:pPr>
        <w:pStyle w:val="6"/>
        <w:adjustRightInd w:val="0"/>
        <w:snapToGrid w:val="0"/>
        <w:spacing w:line="560" w:lineRule="exact"/>
        <w:ind w:firstLine="627" w:firstLineChars="196"/>
        <w:rPr>
          <w:rFonts w:ascii="TimesNewRoman" w:hAnsi="TimesNewRoman" w:eastAsia="仿宋_GB2312" w:cs="TimesNewRoman"/>
          <w:sz w:val="32"/>
          <w:szCs w:val="32"/>
          <w:highlight w:val="yellow"/>
        </w:rPr>
      </w:pPr>
      <w:r>
        <w:rPr>
          <w:rFonts w:ascii="TimesNewRoman" w:hAnsi="TimesNewRoman" w:eastAsia="黑体" w:cs="TimesNewRoman"/>
          <w:sz w:val="32"/>
          <w:szCs w:val="32"/>
          <w:highlight w:val="yellow"/>
        </w:rPr>
        <w:t>十二</w:t>
      </w:r>
      <w:r>
        <w:rPr>
          <w:rFonts w:ascii="TimesNewRoman" w:hAnsi="TimesNewRoman" w:eastAsia="仿宋_GB2312" w:cs="TimesNewRoman"/>
          <w:sz w:val="32"/>
          <w:szCs w:val="32"/>
          <w:highlight w:val="yellow"/>
        </w:rPr>
        <w:t>、……。</w:t>
      </w:r>
    </w:p>
    <w:p>
      <w:pPr>
        <w:pStyle w:val="6"/>
        <w:adjustRightInd w:val="0"/>
        <w:snapToGrid w:val="0"/>
        <w:spacing w:line="560" w:lineRule="exact"/>
        <w:ind w:firstLine="627" w:firstLineChars="196"/>
        <w:rPr>
          <w:rFonts w:ascii="TimesNewRoman" w:hAnsi="TimesNewRoman" w:eastAsia="仿宋_GB2312" w:cs="TimesNewRoman"/>
          <w:sz w:val="32"/>
          <w:szCs w:val="32"/>
          <w:highlight w:val="yellow"/>
        </w:rPr>
      </w:pPr>
      <w:r>
        <w:rPr>
          <w:rFonts w:ascii="TimesNewRoman" w:hAnsi="TimesNewRoman" w:eastAsia="仿宋_GB2312" w:cs="TimesNewRoman"/>
          <w:sz w:val="32"/>
          <w:szCs w:val="32"/>
          <w:highlight w:val="yellow"/>
        </w:rPr>
        <w:t>……</w:t>
      </w:r>
    </w:p>
    <w:p>
      <w:pPr>
        <w:pStyle w:val="6"/>
        <w:spacing w:line="560" w:lineRule="exact"/>
        <w:ind w:firstLine="480" w:firstLineChars="150"/>
        <w:rPr>
          <w:rStyle w:val="9"/>
          <w:rFonts w:ascii="TimesNewRoman" w:hAnsi="TimesNewRoman" w:eastAsia="楷体_GB2312" w:cs="TimesNewRoman"/>
          <w:b w:val="0"/>
          <w:sz w:val="32"/>
          <w:szCs w:val="32"/>
          <w:highlight w:val="yellow"/>
        </w:rPr>
      </w:pPr>
      <w:r>
        <w:rPr>
          <w:rFonts w:ascii="TimesNewRoman" w:hAnsi="TimesNewRoman" w:eastAsia="楷体_GB2312" w:cs="TimesNewRoman"/>
          <w:sz w:val="32"/>
          <w:szCs w:val="32"/>
          <w:highlight w:val="yellow"/>
        </w:rPr>
        <w:t>（各部门、单位均应公开名词解释，并可根据实际情况增减）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- 7 -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- 7 -</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rPr>
        <w:rFonts w:cs="Times New Roman"/>
      </w:rPr>
    </w:lvl>
  </w:abstractNum>
  <w:abstractNum w:abstractNumId="1">
    <w:nsid w:val="740480CD"/>
    <w:multiLevelType w:val="singleLevel"/>
    <w:tmpl w:val="740480C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WQyOWZmNTI3MTQxZWFiMWY1YTIxZGMyOTc0ZGYifQ=="/>
  </w:docVars>
  <w:rsids>
    <w:rsidRoot w:val="00CF3CB4"/>
    <w:rsid w:val="0005790A"/>
    <w:rsid w:val="00143480"/>
    <w:rsid w:val="00196C66"/>
    <w:rsid w:val="001A5EF4"/>
    <w:rsid w:val="00283CA2"/>
    <w:rsid w:val="003C5D98"/>
    <w:rsid w:val="004B4883"/>
    <w:rsid w:val="00555F55"/>
    <w:rsid w:val="006113EA"/>
    <w:rsid w:val="00723D81"/>
    <w:rsid w:val="00741D10"/>
    <w:rsid w:val="00775497"/>
    <w:rsid w:val="00836F2F"/>
    <w:rsid w:val="008B5AE2"/>
    <w:rsid w:val="009049D8"/>
    <w:rsid w:val="00914EEE"/>
    <w:rsid w:val="009E70F5"/>
    <w:rsid w:val="00A02E30"/>
    <w:rsid w:val="00A1311C"/>
    <w:rsid w:val="00AE481B"/>
    <w:rsid w:val="00C32F09"/>
    <w:rsid w:val="00CB07D6"/>
    <w:rsid w:val="00CF3CB4"/>
    <w:rsid w:val="00D348C5"/>
    <w:rsid w:val="00E50685"/>
    <w:rsid w:val="01486D1D"/>
    <w:rsid w:val="01580E0D"/>
    <w:rsid w:val="01647190"/>
    <w:rsid w:val="018B19B7"/>
    <w:rsid w:val="01A874AB"/>
    <w:rsid w:val="01BE7323"/>
    <w:rsid w:val="01D5008F"/>
    <w:rsid w:val="01E92105"/>
    <w:rsid w:val="01FF6109"/>
    <w:rsid w:val="02031DA8"/>
    <w:rsid w:val="022B28D3"/>
    <w:rsid w:val="023E7AE8"/>
    <w:rsid w:val="023F5782"/>
    <w:rsid w:val="0242141E"/>
    <w:rsid w:val="02661B0D"/>
    <w:rsid w:val="02661E94"/>
    <w:rsid w:val="027D2111"/>
    <w:rsid w:val="02823BF7"/>
    <w:rsid w:val="02B62D50"/>
    <w:rsid w:val="02DC43D4"/>
    <w:rsid w:val="02E84D81"/>
    <w:rsid w:val="02EC3013"/>
    <w:rsid w:val="02F76F90"/>
    <w:rsid w:val="0307292B"/>
    <w:rsid w:val="031D4079"/>
    <w:rsid w:val="03435D11"/>
    <w:rsid w:val="03661A20"/>
    <w:rsid w:val="039F28FF"/>
    <w:rsid w:val="040106FE"/>
    <w:rsid w:val="04120A79"/>
    <w:rsid w:val="04193B67"/>
    <w:rsid w:val="04220FFB"/>
    <w:rsid w:val="043C7E45"/>
    <w:rsid w:val="04494F5A"/>
    <w:rsid w:val="04685F51"/>
    <w:rsid w:val="04975C6D"/>
    <w:rsid w:val="049909B2"/>
    <w:rsid w:val="049A0EC3"/>
    <w:rsid w:val="04AE27D8"/>
    <w:rsid w:val="04BE78CE"/>
    <w:rsid w:val="04BF4488"/>
    <w:rsid w:val="04CE3238"/>
    <w:rsid w:val="04D540E6"/>
    <w:rsid w:val="04FB7FCD"/>
    <w:rsid w:val="05085251"/>
    <w:rsid w:val="05237BC9"/>
    <w:rsid w:val="053D2E4C"/>
    <w:rsid w:val="05573D16"/>
    <w:rsid w:val="0582105B"/>
    <w:rsid w:val="05860158"/>
    <w:rsid w:val="058F525E"/>
    <w:rsid w:val="05A07C29"/>
    <w:rsid w:val="05A269B3"/>
    <w:rsid w:val="05A55A4F"/>
    <w:rsid w:val="05B60983"/>
    <w:rsid w:val="05D465F3"/>
    <w:rsid w:val="05FA116B"/>
    <w:rsid w:val="06095F7E"/>
    <w:rsid w:val="061578C6"/>
    <w:rsid w:val="06273E1D"/>
    <w:rsid w:val="062E0F1B"/>
    <w:rsid w:val="063F28A0"/>
    <w:rsid w:val="066A50C0"/>
    <w:rsid w:val="066C1EB0"/>
    <w:rsid w:val="06705803"/>
    <w:rsid w:val="06834D52"/>
    <w:rsid w:val="06BA4315"/>
    <w:rsid w:val="06DE7A78"/>
    <w:rsid w:val="07010D05"/>
    <w:rsid w:val="07261B35"/>
    <w:rsid w:val="07285F7E"/>
    <w:rsid w:val="0753161B"/>
    <w:rsid w:val="075965D1"/>
    <w:rsid w:val="076F5A8A"/>
    <w:rsid w:val="077F14C3"/>
    <w:rsid w:val="07992707"/>
    <w:rsid w:val="079B5899"/>
    <w:rsid w:val="079E5C2C"/>
    <w:rsid w:val="07A00B7B"/>
    <w:rsid w:val="07A12A14"/>
    <w:rsid w:val="07EA2C2C"/>
    <w:rsid w:val="07F36EA5"/>
    <w:rsid w:val="080705DD"/>
    <w:rsid w:val="083721DA"/>
    <w:rsid w:val="08380297"/>
    <w:rsid w:val="08723D46"/>
    <w:rsid w:val="08931509"/>
    <w:rsid w:val="08AF047C"/>
    <w:rsid w:val="08C96805"/>
    <w:rsid w:val="08FA1431"/>
    <w:rsid w:val="08FC1F53"/>
    <w:rsid w:val="08FE4B6C"/>
    <w:rsid w:val="09173115"/>
    <w:rsid w:val="091A762E"/>
    <w:rsid w:val="09300058"/>
    <w:rsid w:val="09322D34"/>
    <w:rsid w:val="093A6425"/>
    <w:rsid w:val="094552CD"/>
    <w:rsid w:val="094E47E6"/>
    <w:rsid w:val="09546E62"/>
    <w:rsid w:val="095703E7"/>
    <w:rsid w:val="095F03D4"/>
    <w:rsid w:val="09691AA2"/>
    <w:rsid w:val="097528C9"/>
    <w:rsid w:val="09753B8C"/>
    <w:rsid w:val="097D11E5"/>
    <w:rsid w:val="097F6432"/>
    <w:rsid w:val="098826F0"/>
    <w:rsid w:val="099A30BF"/>
    <w:rsid w:val="09A062BB"/>
    <w:rsid w:val="09A854BB"/>
    <w:rsid w:val="09AA6B0A"/>
    <w:rsid w:val="09D242E1"/>
    <w:rsid w:val="09DE74BA"/>
    <w:rsid w:val="09E16D67"/>
    <w:rsid w:val="09FB1114"/>
    <w:rsid w:val="0A0A3635"/>
    <w:rsid w:val="0A2A6FBE"/>
    <w:rsid w:val="0A3B49A6"/>
    <w:rsid w:val="0A3D3331"/>
    <w:rsid w:val="0A457DBF"/>
    <w:rsid w:val="0A563B00"/>
    <w:rsid w:val="0A6D5AA6"/>
    <w:rsid w:val="0A7E2F7C"/>
    <w:rsid w:val="0AEE31FE"/>
    <w:rsid w:val="0AF752A3"/>
    <w:rsid w:val="0AFA65B5"/>
    <w:rsid w:val="0AFA7315"/>
    <w:rsid w:val="0AFF6639"/>
    <w:rsid w:val="0B2064C8"/>
    <w:rsid w:val="0B297C00"/>
    <w:rsid w:val="0B330D82"/>
    <w:rsid w:val="0B7D3B49"/>
    <w:rsid w:val="0B8672C1"/>
    <w:rsid w:val="0BD36BAD"/>
    <w:rsid w:val="0BD52895"/>
    <w:rsid w:val="0BFC5F94"/>
    <w:rsid w:val="0C0D3381"/>
    <w:rsid w:val="0C0F11C5"/>
    <w:rsid w:val="0C131B81"/>
    <w:rsid w:val="0C142456"/>
    <w:rsid w:val="0C2F1549"/>
    <w:rsid w:val="0C403F8E"/>
    <w:rsid w:val="0C4222C8"/>
    <w:rsid w:val="0C507244"/>
    <w:rsid w:val="0C5719E5"/>
    <w:rsid w:val="0C5E1E2E"/>
    <w:rsid w:val="0C6B239F"/>
    <w:rsid w:val="0C917162"/>
    <w:rsid w:val="0CA3357A"/>
    <w:rsid w:val="0CBB6A44"/>
    <w:rsid w:val="0CBD4046"/>
    <w:rsid w:val="0CD07FFB"/>
    <w:rsid w:val="0CE458BD"/>
    <w:rsid w:val="0CFD1647"/>
    <w:rsid w:val="0D091C25"/>
    <w:rsid w:val="0D676AC1"/>
    <w:rsid w:val="0D7443F5"/>
    <w:rsid w:val="0D786F20"/>
    <w:rsid w:val="0DB53CD0"/>
    <w:rsid w:val="0DB8355E"/>
    <w:rsid w:val="0DD97409"/>
    <w:rsid w:val="0DED0F1F"/>
    <w:rsid w:val="0DFA16E3"/>
    <w:rsid w:val="0DFF273F"/>
    <w:rsid w:val="0E0C7F2C"/>
    <w:rsid w:val="0E4E63C5"/>
    <w:rsid w:val="0E536FD5"/>
    <w:rsid w:val="0E6059EA"/>
    <w:rsid w:val="0E7D5CC2"/>
    <w:rsid w:val="0EC341CA"/>
    <w:rsid w:val="0EC56499"/>
    <w:rsid w:val="0EC7440A"/>
    <w:rsid w:val="0ED45FD5"/>
    <w:rsid w:val="0ED53E93"/>
    <w:rsid w:val="0EDB201C"/>
    <w:rsid w:val="0EF62FF8"/>
    <w:rsid w:val="0F4175E7"/>
    <w:rsid w:val="0F4A5AD3"/>
    <w:rsid w:val="0F630123"/>
    <w:rsid w:val="0F8C0FCA"/>
    <w:rsid w:val="0FAB599F"/>
    <w:rsid w:val="0FAC4AAC"/>
    <w:rsid w:val="0FC93933"/>
    <w:rsid w:val="0FCE5A58"/>
    <w:rsid w:val="0FD06B9F"/>
    <w:rsid w:val="10265B91"/>
    <w:rsid w:val="102F5305"/>
    <w:rsid w:val="104A79A1"/>
    <w:rsid w:val="104B7AD9"/>
    <w:rsid w:val="1053333E"/>
    <w:rsid w:val="1072346A"/>
    <w:rsid w:val="107E0211"/>
    <w:rsid w:val="10837374"/>
    <w:rsid w:val="109C2F25"/>
    <w:rsid w:val="10C92D41"/>
    <w:rsid w:val="10CF61BA"/>
    <w:rsid w:val="10EA0416"/>
    <w:rsid w:val="11653B12"/>
    <w:rsid w:val="116F02A6"/>
    <w:rsid w:val="119314ED"/>
    <w:rsid w:val="119C5DB6"/>
    <w:rsid w:val="119D3640"/>
    <w:rsid w:val="11AB6C6F"/>
    <w:rsid w:val="11B61DC5"/>
    <w:rsid w:val="11C568FB"/>
    <w:rsid w:val="11CA40BC"/>
    <w:rsid w:val="11DD21F0"/>
    <w:rsid w:val="11F71199"/>
    <w:rsid w:val="120F3976"/>
    <w:rsid w:val="123D3C9D"/>
    <w:rsid w:val="124B0A5E"/>
    <w:rsid w:val="125D6F91"/>
    <w:rsid w:val="126F4DF0"/>
    <w:rsid w:val="12704240"/>
    <w:rsid w:val="12725801"/>
    <w:rsid w:val="12BE3184"/>
    <w:rsid w:val="12CC5B18"/>
    <w:rsid w:val="12D44C4A"/>
    <w:rsid w:val="12F81233"/>
    <w:rsid w:val="12FE74DF"/>
    <w:rsid w:val="130F1AF5"/>
    <w:rsid w:val="131A1E3D"/>
    <w:rsid w:val="132655A8"/>
    <w:rsid w:val="134F427F"/>
    <w:rsid w:val="13545D39"/>
    <w:rsid w:val="13642D27"/>
    <w:rsid w:val="13AE369B"/>
    <w:rsid w:val="13CB3F3A"/>
    <w:rsid w:val="13D4749D"/>
    <w:rsid w:val="13D80718"/>
    <w:rsid w:val="13EC2485"/>
    <w:rsid w:val="13F728F2"/>
    <w:rsid w:val="14040376"/>
    <w:rsid w:val="1429376F"/>
    <w:rsid w:val="14296D27"/>
    <w:rsid w:val="143771ED"/>
    <w:rsid w:val="14496EAA"/>
    <w:rsid w:val="147E31D1"/>
    <w:rsid w:val="148F28CB"/>
    <w:rsid w:val="1491049B"/>
    <w:rsid w:val="14B14DA7"/>
    <w:rsid w:val="14C34BB7"/>
    <w:rsid w:val="14C8253B"/>
    <w:rsid w:val="14D6459B"/>
    <w:rsid w:val="14EC2C0E"/>
    <w:rsid w:val="14F93239"/>
    <w:rsid w:val="14FD790E"/>
    <w:rsid w:val="153B5AFC"/>
    <w:rsid w:val="15492ED8"/>
    <w:rsid w:val="155D201D"/>
    <w:rsid w:val="155D7127"/>
    <w:rsid w:val="15750668"/>
    <w:rsid w:val="157C42D6"/>
    <w:rsid w:val="159E3DB2"/>
    <w:rsid w:val="15B82A65"/>
    <w:rsid w:val="15BD53D2"/>
    <w:rsid w:val="15CE4FDD"/>
    <w:rsid w:val="16026682"/>
    <w:rsid w:val="16067D5F"/>
    <w:rsid w:val="161A6DC6"/>
    <w:rsid w:val="165E276A"/>
    <w:rsid w:val="16675F72"/>
    <w:rsid w:val="16F70EB5"/>
    <w:rsid w:val="170E2759"/>
    <w:rsid w:val="17126C4A"/>
    <w:rsid w:val="172D709F"/>
    <w:rsid w:val="17452FAA"/>
    <w:rsid w:val="17457492"/>
    <w:rsid w:val="17B40FEE"/>
    <w:rsid w:val="17E0547E"/>
    <w:rsid w:val="17F241EC"/>
    <w:rsid w:val="181B2B09"/>
    <w:rsid w:val="181D6112"/>
    <w:rsid w:val="183E434B"/>
    <w:rsid w:val="18442101"/>
    <w:rsid w:val="184E5004"/>
    <w:rsid w:val="185F598D"/>
    <w:rsid w:val="187722E4"/>
    <w:rsid w:val="18AB01A9"/>
    <w:rsid w:val="18B5251E"/>
    <w:rsid w:val="18E859E0"/>
    <w:rsid w:val="18EE236E"/>
    <w:rsid w:val="18F03E0E"/>
    <w:rsid w:val="18FA1422"/>
    <w:rsid w:val="192F4B84"/>
    <w:rsid w:val="19335D56"/>
    <w:rsid w:val="195B79E2"/>
    <w:rsid w:val="199B5311"/>
    <w:rsid w:val="19BC1F42"/>
    <w:rsid w:val="19D47DFC"/>
    <w:rsid w:val="19D76D7C"/>
    <w:rsid w:val="19DB27DF"/>
    <w:rsid w:val="19EB1937"/>
    <w:rsid w:val="1A031072"/>
    <w:rsid w:val="1A1F3734"/>
    <w:rsid w:val="1A37610B"/>
    <w:rsid w:val="1A561B8D"/>
    <w:rsid w:val="1A5C17DF"/>
    <w:rsid w:val="1A837F61"/>
    <w:rsid w:val="1A873799"/>
    <w:rsid w:val="1AA46171"/>
    <w:rsid w:val="1AD53849"/>
    <w:rsid w:val="1AD87BE9"/>
    <w:rsid w:val="1AE1560F"/>
    <w:rsid w:val="1AE9259A"/>
    <w:rsid w:val="1AF72D98"/>
    <w:rsid w:val="1AF852D6"/>
    <w:rsid w:val="1AFA5418"/>
    <w:rsid w:val="1AFC48D1"/>
    <w:rsid w:val="1B085D60"/>
    <w:rsid w:val="1B3E70B3"/>
    <w:rsid w:val="1B6B5E77"/>
    <w:rsid w:val="1B7F3E14"/>
    <w:rsid w:val="1B80173A"/>
    <w:rsid w:val="1B9C027D"/>
    <w:rsid w:val="1BB51E76"/>
    <w:rsid w:val="1BC352F1"/>
    <w:rsid w:val="1BC835CF"/>
    <w:rsid w:val="1C27197A"/>
    <w:rsid w:val="1C3A2D11"/>
    <w:rsid w:val="1C49415B"/>
    <w:rsid w:val="1C5D7F04"/>
    <w:rsid w:val="1C6D38F1"/>
    <w:rsid w:val="1C9660C6"/>
    <w:rsid w:val="1C995AED"/>
    <w:rsid w:val="1CA2753F"/>
    <w:rsid w:val="1CA81EED"/>
    <w:rsid w:val="1CB04E06"/>
    <w:rsid w:val="1CBA7276"/>
    <w:rsid w:val="1CBF06C7"/>
    <w:rsid w:val="1CDC0A83"/>
    <w:rsid w:val="1CF53748"/>
    <w:rsid w:val="1D12367A"/>
    <w:rsid w:val="1D29041B"/>
    <w:rsid w:val="1D344C11"/>
    <w:rsid w:val="1D52505E"/>
    <w:rsid w:val="1D60114C"/>
    <w:rsid w:val="1D656BAC"/>
    <w:rsid w:val="1D706FF1"/>
    <w:rsid w:val="1D750D86"/>
    <w:rsid w:val="1D8A287C"/>
    <w:rsid w:val="1D8E76F2"/>
    <w:rsid w:val="1E036981"/>
    <w:rsid w:val="1E086095"/>
    <w:rsid w:val="1E117787"/>
    <w:rsid w:val="1E210CC9"/>
    <w:rsid w:val="1E3A683F"/>
    <w:rsid w:val="1E5A33DE"/>
    <w:rsid w:val="1E6A6503"/>
    <w:rsid w:val="1EA22859"/>
    <w:rsid w:val="1EA57B09"/>
    <w:rsid w:val="1EDD6BD4"/>
    <w:rsid w:val="1EE13A83"/>
    <w:rsid w:val="1EFA5C8F"/>
    <w:rsid w:val="1EFE71A5"/>
    <w:rsid w:val="1F04209A"/>
    <w:rsid w:val="1F0A635F"/>
    <w:rsid w:val="1F136AA8"/>
    <w:rsid w:val="1F143CB5"/>
    <w:rsid w:val="1F2035B9"/>
    <w:rsid w:val="1F2B5951"/>
    <w:rsid w:val="1F3A1848"/>
    <w:rsid w:val="1F447B2B"/>
    <w:rsid w:val="1F5F070B"/>
    <w:rsid w:val="1F7668B4"/>
    <w:rsid w:val="1F823292"/>
    <w:rsid w:val="1F8B2AE2"/>
    <w:rsid w:val="1F9E39BE"/>
    <w:rsid w:val="1FA10CCC"/>
    <w:rsid w:val="1FAB4936"/>
    <w:rsid w:val="1FAC7314"/>
    <w:rsid w:val="1FB73E20"/>
    <w:rsid w:val="1FB83FFE"/>
    <w:rsid w:val="1FBA2115"/>
    <w:rsid w:val="1FC764A8"/>
    <w:rsid w:val="1FE10BA7"/>
    <w:rsid w:val="1FFB1A16"/>
    <w:rsid w:val="20065405"/>
    <w:rsid w:val="202064AD"/>
    <w:rsid w:val="20264354"/>
    <w:rsid w:val="202B2F7F"/>
    <w:rsid w:val="203C513A"/>
    <w:rsid w:val="203C6B3C"/>
    <w:rsid w:val="205737BA"/>
    <w:rsid w:val="205968B4"/>
    <w:rsid w:val="207356D7"/>
    <w:rsid w:val="207718FF"/>
    <w:rsid w:val="207F2647"/>
    <w:rsid w:val="208512E0"/>
    <w:rsid w:val="20866C4D"/>
    <w:rsid w:val="20996984"/>
    <w:rsid w:val="20A3314E"/>
    <w:rsid w:val="20A64ECD"/>
    <w:rsid w:val="20AF0D9B"/>
    <w:rsid w:val="20B0107F"/>
    <w:rsid w:val="20C5701F"/>
    <w:rsid w:val="20C807E5"/>
    <w:rsid w:val="2110329F"/>
    <w:rsid w:val="212C0E0D"/>
    <w:rsid w:val="212D7265"/>
    <w:rsid w:val="2132174A"/>
    <w:rsid w:val="21330C70"/>
    <w:rsid w:val="21343A4E"/>
    <w:rsid w:val="213453AC"/>
    <w:rsid w:val="21381C6F"/>
    <w:rsid w:val="21924C23"/>
    <w:rsid w:val="219C09A8"/>
    <w:rsid w:val="21C57E0A"/>
    <w:rsid w:val="21C82D86"/>
    <w:rsid w:val="21CE6EA0"/>
    <w:rsid w:val="21CF315A"/>
    <w:rsid w:val="21D50045"/>
    <w:rsid w:val="21F94694"/>
    <w:rsid w:val="220716EF"/>
    <w:rsid w:val="221272E4"/>
    <w:rsid w:val="22256504"/>
    <w:rsid w:val="22261403"/>
    <w:rsid w:val="223A5A53"/>
    <w:rsid w:val="223F112A"/>
    <w:rsid w:val="228C104B"/>
    <w:rsid w:val="228E196F"/>
    <w:rsid w:val="229A4BBC"/>
    <w:rsid w:val="22A43154"/>
    <w:rsid w:val="22A719E1"/>
    <w:rsid w:val="22D8702E"/>
    <w:rsid w:val="22DA7E17"/>
    <w:rsid w:val="22EE3929"/>
    <w:rsid w:val="22EF3388"/>
    <w:rsid w:val="23181F6F"/>
    <w:rsid w:val="231C3204"/>
    <w:rsid w:val="231D6C3B"/>
    <w:rsid w:val="23496936"/>
    <w:rsid w:val="2372753E"/>
    <w:rsid w:val="23AB6C9E"/>
    <w:rsid w:val="23D14B62"/>
    <w:rsid w:val="23E97DD8"/>
    <w:rsid w:val="23EE02B2"/>
    <w:rsid w:val="23EE7113"/>
    <w:rsid w:val="240D725F"/>
    <w:rsid w:val="24357EF5"/>
    <w:rsid w:val="24413E26"/>
    <w:rsid w:val="24646F4F"/>
    <w:rsid w:val="246E3969"/>
    <w:rsid w:val="247926C7"/>
    <w:rsid w:val="247A1986"/>
    <w:rsid w:val="2492221D"/>
    <w:rsid w:val="249329CF"/>
    <w:rsid w:val="24B42900"/>
    <w:rsid w:val="24BC6D9C"/>
    <w:rsid w:val="24CF6FCD"/>
    <w:rsid w:val="24F11BF1"/>
    <w:rsid w:val="24F305B1"/>
    <w:rsid w:val="24F67C29"/>
    <w:rsid w:val="250B5612"/>
    <w:rsid w:val="251A0B90"/>
    <w:rsid w:val="251B1408"/>
    <w:rsid w:val="2520145D"/>
    <w:rsid w:val="252407CC"/>
    <w:rsid w:val="252F6068"/>
    <w:rsid w:val="256020CB"/>
    <w:rsid w:val="256753CD"/>
    <w:rsid w:val="257859AF"/>
    <w:rsid w:val="259958B9"/>
    <w:rsid w:val="25A4045A"/>
    <w:rsid w:val="25A77231"/>
    <w:rsid w:val="25D91208"/>
    <w:rsid w:val="261C7313"/>
    <w:rsid w:val="262D66A1"/>
    <w:rsid w:val="263E5DBC"/>
    <w:rsid w:val="26662D41"/>
    <w:rsid w:val="2666570F"/>
    <w:rsid w:val="267D631D"/>
    <w:rsid w:val="26897195"/>
    <w:rsid w:val="26967006"/>
    <w:rsid w:val="26BB2A7F"/>
    <w:rsid w:val="26C27826"/>
    <w:rsid w:val="26DA6CCA"/>
    <w:rsid w:val="26E12FFE"/>
    <w:rsid w:val="26EC2B95"/>
    <w:rsid w:val="26ED34FC"/>
    <w:rsid w:val="2703276A"/>
    <w:rsid w:val="27073467"/>
    <w:rsid w:val="270D3319"/>
    <w:rsid w:val="272947AF"/>
    <w:rsid w:val="27326424"/>
    <w:rsid w:val="27394BC2"/>
    <w:rsid w:val="274C0DA9"/>
    <w:rsid w:val="2762030B"/>
    <w:rsid w:val="27960276"/>
    <w:rsid w:val="27972DE6"/>
    <w:rsid w:val="279F712B"/>
    <w:rsid w:val="27A02EA3"/>
    <w:rsid w:val="27AD517A"/>
    <w:rsid w:val="27B3177C"/>
    <w:rsid w:val="27BB37EC"/>
    <w:rsid w:val="27C76682"/>
    <w:rsid w:val="27C76BD3"/>
    <w:rsid w:val="27CB6172"/>
    <w:rsid w:val="27CC559D"/>
    <w:rsid w:val="27D05536"/>
    <w:rsid w:val="27EB1F26"/>
    <w:rsid w:val="2808255A"/>
    <w:rsid w:val="282157D0"/>
    <w:rsid w:val="283D44CE"/>
    <w:rsid w:val="2845744F"/>
    <w:rsid w:val="284E0B51"/>
    <w:rsid w:val="287946A7"/>
    <w:rsid w:val="287D1EE8"/>
    <w:rsid w:val="288B7422"/>
    <w:rsid w:val="28BF362F"/>
    <w:rsid w:val="28CD4C95"/>
    <w:rsid w:val="28D76BDE"/>
    <w:rsid w:val="28DD5A11"/>
    <w:rsid w:val="28DE0072"/>
    <w:rsid w:val="28EA0744"/>
    <w:rsid w:val="28F37E78"/>
    <w:rsid w:val="2915043A"/>
    <w:rsid w:val="292435F9"/>
    <w:rsid w:val="293C5648"/>
    <w:rsid w:val="29412C2C"/>
    <w:rsid w:val="2943262C"/>
    <w:rsid w:val="29673A90"/>
    <w:rsid w:val="2973086F"/>
    <w:rsid w:val="29732B97"/>
    <w:rsid w:val="2976379B"/>
    <w:rsid w:val="297678B5"/>
    <w:rsid w:val="29832F79"/>
    <w:rsid w:val="2994307E"/>
    <w:rsid w:val="29A3655D"/>
    <w:rsid w:val="29AF54B8"/>
    <w:rsid w:val="29C93557"/>
    <w:rsid w:val="29E64F92"/>
    <w:rsid w:val="2A3048D8"/>
    <w:rsid w:val="2A32173C"/>
    <w:rsid w:val="2A5651BE"/>
    <w:rsid w:val="2A6E3F24"/>
    <w:rsid w:val="2A82256A"/>
    <w:rsid w:val="2A952BFE"/>
    <w:rsid w:val="2AA616E0"/>
    <w:rsid w:val="2AD92954"/>
    <w:rsid w:val="2ADF2DD5"/>
    <w:rsid w:val="2AE5579D"/>
    <w:rsid w:val="2AED37C8"/>
    <w:rsid w:val="2B005B67"/>
    <w:rsid w:val="2B024BE2"/>
    <w:rsid w:val="2B4B446E"/>
    <w:rsid w:val="2B671819"/>
    <w:rsid w:val="2B674404"/>
    <w:rsid w:val="2BA3087E"/>
    <w:rsid w:val="2BCF779E"/>
    <w:rsid w:val="2BD10403"/>
    <w:rsid w:val="2BDA3F71"/>
    <w:rsid w:val="2BE20AFC"/>
    <w:rsid w:val="2BE703CF"/>
    <w:rsid w:val="2BEA0158"/>
    <w:rsid w:val="2BF03A37"/>
    <w:rsid w:val="2BFD08DF"/>
    <w:rsid w:val="2C112450"/>
    <w:rsid w:val="2C33208D"/>
    <w:rsid w:val="2C517089"/>
    <w:rsid w:val="2C567FD4"/>
    <w:rsid w:val="2C57783C"/>
    <w:rsid w:val="2C5D1363"/>
    <w:rsid w:val="2C6C797F"/>
    <w:rsid w:val="2CB44170"/>
    <w:rsid w:val="2CDE4D8B"/>
    <w:rsid w:val="2CE459AE"/>
    <w:rsid w:val="2CEB2E12"/>
    <w:rsid w:val="2CF35F34"/>
    <w:rsid w:val="2CF63C91"/>
    <w:rsid w:val="2D05030E"/>
    <w:rsid w:val="2D2A3BD6"/>
    <w:rsid w:val="2D492C6F"/>
    <w:rsid w:val="2D594220"/>
    <w:rsid w:val="2D787BC5"/>
    <w:rsid w:val="2D8E2CFF"/>
    <w:rsid w:val="2DAB2A07"/>
    <w:rsid w:val="2DDC1CA2"/>
    <w:rsid w:val="2DE629D9"/>
    <w:rsid w:val="2DF56887"/>
    <w:rsid w:val="2E05495F"/>
    <w:rsid w:val="2E271C28"/>
    <w:rsid w:val="2E277E7A"/>
    <w:rsid w:val="2E59138B"/>
    <w:rsid w:val="2E7218E0"/>
    <w:rsid w:val="2E8B396A"/>
    <w:rsid w:val="2E990B07"/>
    <w:rsid w:val="2EAF2C49"/>
    <w:rsid w:val="2EC2593B"/>
    <w:rsid w:val="2EEB4C33"/>
    <w:rsid w:val="2F016720"/>
    <w:rsid w:val="2F0D32C9"/>
    <w:rsid w:val="2F1848CA"/>
    <w:rsid w:val="2F2A3BC6"/>
    <w:rsid w:val="2F3945C8"/>
    <w:rsid w:val="2F5632A4"/>
    <w:rsid w:val="2F5A1AB0"/>
    <w:rsid w:val="2F5C0AED"/>
    <w:rsid w:val="2F7876C7"/>
    <w:rsid w:val="2F9A20FA"/>
    <w:rsid w:val="2FA518B8"/>
    <w:rsid w:val="2FBD7A13"/>
    <w:rsid w:val="2FEE50F3"/>
    <w:rsid w:val="30022BBB"/>
    <w:rsid w:val="300B5DB8"/>
    <w:rsid w:val="30156E5B"/>
    <w:rsid w:val="301C5F3F"/>
    <w:rsid w:val="30253176"/>
    <w:rsid w:val="302E54F0"/>
    <w:rsid w:val="30683FAE"/>
    <w:rsid w:val="307D1FD3"/>
    <w:rsid w:val="308438DA"/>
    <w:rsid w:val="30963095"/>
    <w:rsid w:val="30A67DC5"/>
    <w:rsid w:val="30D438A6"/>
    <w:rsid w:val="31115890"/>
    <w:rsid w:val="31273DF1"/>
    <w:rsid w:val="31292481"/>
    <w:rsid w:val="314519AD"/>
    <w:rsid w:val="316644A7"/>
    <w:rsid w:val="317039DD"/>
    <w:rsid w:val="31876182"/>
    <w:rsid w:val="31945350"/>
    <w:rsid w:val="319F7580"/>
    <w:rsid w:val="31CD0D39"/>
    <w:rsid w:val="31E401DE"/>
    <w:rsid w:val="3207769F"/>
    <w:rsid w:val="320B1741"/>
    <w:rsid w:val="321212DD"/>
    <w:rsid w:val="322A7D59"/>
    <w:rsid w:val="32601AF5"/>
    <w:rsid w:val="32604326"/>
    <w:rsid w:val="326163E3"/>
    <w:rsid w:val="32891103"/>
    <w:rsid w:val="328F5FEE"/>
    <w:rsid w:val="32943604"/>
    <w:rsid w:val="329704B1"/>
    <w:rsid w:val="32BE07FD"/>
    <w:rsid w:val="32CC3469"/>
    <w:rsid w:val="32CE47C7"/>
    <w:rsid w:val="32CF5BC1"/>
    <w:rsid w:val="3314247B"/>
    <w:rsid w:val="332A0B2B"/>
    <w:rsid w:val="33504095"/>
    <w:rsid w:val="3377748D"/>
    <w:rsid w:val="338403F7"/>
    <w:rsid w:val="33A60C3D"/>
    <w:rsid w:val="33AA3A36"/>
    <w:rsid w:val="33AD38B5"/>
    <w:rsid w:val="33D12E98"/>
    <w:rsid w:val="33EA4328"/>
    <w:rsid w:val="33F8295B"/>
    <w:rsid w:val="34187A86"/>
    <w:rsid w:val="341D3E16"/>
    <w:rsid w:val="343068C7"/>
    <w:rsid w:val="34394188"/>
    <w:rsid w:val="343E5F1E"/>
    <w:rsid w:val="34440290"/>
    <w:rsid w:val="34521EEB"/>
    <w:rsid w:val="3454466B"/>
    <w:rsid w:val="34700596"/>
    <w:rsid w:val="34744044"/>
    <w:rsid w:val="348A6FBD"/>
    <w:rsid w:val="34CB1762"/>
    <w:rsid w:val="34F73287"/>
    <w:rsid w:val="34FA62E8"/>
    <w:rsid w:val="350F2889"/>
    <w:rsid w:val="35154281"/>
    <w:rsid w:val="351A5280"/>
    <w:rsid w:val="351B1DBB"/>
    <w:rsid w:val="35254858"/>
    <w:rsid w:val="352B7751"/>
    <w:rsid w:val="353D1EDE"/>
    <w:rsid w:val="35670015"/>
    <w:rsid w:val="35685526"/>
    <w:rsid w:val="35686957"/>
    <w:rsid w:val="35702CB3"/>
    <w:rsid w:val="357A401D"/>
    <w:rsid w:val="3585389C"/>
    <w:rsid w:val="35A460E9"/>
    <w:rsid w:val="35B7645A"/>
    <w:rsid w:val="35B86D11"/>
    <w:rsid w:val="35B91782"/>
    <w:rsid w:val="35C46187"/>
    <w:rsid w:val="35CD1307"/>
    <w:rsid w:val="35D20074"/>
    <w:rsid w:val="3601719A"/>
    <w:rsid w:val="363A37E7"/>
    <w:rsid w:val="363F3BA9"/>
    <w:rsid w:val="3643261C"/>
    <w:rsid w:val="3647401C"/>
    <w:rsid w:val="3675727A"/>
    <w:rsid w:val="367B7189"/>
    <w:rsid w:val="36931366"/>
    <w:rsid w:val="36B3109A"/>
    <w:rsid w:val="36B75CE5"/>
    <w:rsid w:val="37101867"/>
    <w:rsid w:val="371415F8"/>
    <w:rsid w:val="37673894"/>
    <w:rsid w:val="37846B9A"/>
    <w:rsid w:val="37857D49"/>
    <w:rsid w:val="378B7329"/>
    <w:rsid w:val="378C5511"/>
    <w:rsid w:val="37927590"/>
    <w:rsid w:val="37A61E10"/>
    <w:rsid w:val="37A8436D"/>
    <w:rsid w:val="37AB4B58"/>
    <w:rsid w:val="37B4597D"/>
    <w:rsid w:val="37C31AC3"/>
    <w:rsid w:val="37C4756A"/>
    <w:rsid w:val="37C72047"/>
    <w:rsid w:val="37D10F9D"/>
    <w:rsid w:val="37D37BB2"/>
    <w:rsid w:val="37F356A9"/>
    <w:rsid w:val="38044B88"/>
    <w:rsid w:val="38192147"/>
    <w:rsid w:val="38B30F97"/>
    <w:rsid w:val="38BF1FFC"/>
    <w:rsid w:val="38CF6E50"/>
    <w:rsid w:val="38EB69F9"/>
    <w:rsid w:val="38F35529"/>
    <w:rsid w:val="38F9608C"/>
    <w:rsid w:val="39141B04"/>
    <w:rsid w:val="39146200"/>
    <w:rsid w:val="39224952"/>
    <w:rsid w:val="39230F3A"/>
    <w:rsid w:val="39390D21"/>
    <w:rsid w:val="393D7D02"/>
    <w:rsid w:val="394305D3"/>
    <w:rsid w:val="39921250"/>
    <w:rsid w:val="39995310"/>
    <w:rsid w:val="39AD5737"/>
    <w:rsid w:val="39BF18AF"/>
    <w:rsid w:val="39D96609"/>
    <w:rsid w:val="39F36F88"/>
    <w:rsid w:val="3A1C285D"/>
    <w:rsid w:val="3A2A0C08"/>
    <w:rsid w:val="3A7A3B47"/>
    <w:rsid w:val="3A8946FD"/>
    <w:rsid w:val="3AB8596C"/>
    <w:rsid w:val="3B194FEF"/>
    <w:rsid w:val="3B1A0CA9"/>
    <w:rsid w:val="3B324945"/>
    <w:rsid w:val="3B3E764F"/>
    <w:rsid w:val="3B727AEE"/>
    <w:rsid w:val="3B893F22"/>
    <w:rsid w:val="3BAE5F44"/>
    <w:rsid w:val="3BD90165"/>
    <w:rsid w:val="3BDB4730"/>
    <w:rsid w:val="3BF82E56"/>
    <w:rsid w:val="3C3E26D3"/>
    <w:rsid w:val="3C4829AA"/>
    <w:rsid w:val="3C540A64"/>
    <w:rsid w:val="3C5F2ED5"/>
    <w:rsid w:val="3C6C2277"/>
    <w:rsid w:val="3CB15D70"/>
    <w:rsid w:val="3CB33911"/>
    <w:rsid w:val="3CBD5E92"/>
    <w:rsid w:val="3CC607BF"/>
    <w:rsid w:val="3CCC115C"/>
    <w:rsid w:val="3CEA477C"/>
    <w:rsid w:val="3D2F28A7"/>
    <w:rsid w:val="3D932E36"/>
    <w:rsid w:val="3DA477EC"/>
    <w:rsid w:val="3DCA514D"/>
    <w:rsid w:val="3DE73182"/>
    <w:rsid w:val="3DFB65FB"/>
    <w:rsid w:val="3E0414BD"/>
    <w:rsid w:val="3E2C2EE6"/>
    <w:rsid w:val="3E3F6A9E"/>
    <w:rsid w:val="3E47626F"/>
    <w:rsid w:val="3E4E3000"/>
    <w:rsid w:val="3E5968E1"/>
    <w:rsid w:val="3E6E7092"/>
    <w:rsid w:val="3E761DAB"/>
    <w:rsid w:val="3E820292"/>
    <w:rsid w:val="3E88791F"/>
    <w:rsid w:val="3E8C4942"/>
    <w:rsid w:val="3E9969C1"/>
    <w:rsid w:val="3E9D7BAE"/>
    <w:rsid w:val="3EAA42D5"/>
    <w:rsid w:val="3EAB725E"/>
    <w:rsid w:val="3EB9437E"/>
    <w:rsid w:val="3EBD54CA"/>
    <w:rsid w:val="3EC139D3"/>
    <w:rsid w:val="3F360800"/>
    <w:rsid w:val="3F7531D7"/>
    <w:rsid w:val="3F754F19"/>
    <w:rsid w:val="3F7A2EA7"/>
    <w:rsid w:val="3F8B561D"/>
    <w:rsid w:val="3FDF5DA0"/>
    <w:rsid w:val="3FFE7A64"/>
    <w:rsid w:val="400C6ED0"/>
    <w:rsid w:val="40425C45"/>
    <w:rsid w:val="40480B59"/>
    <w:rsid w:val="404F3B64"/>
    <w:rsid w:val="404F4B1C"/>
    <w:rsid w:val="405A79FA"/>
    <w:rsid w:val="40627EA5"/>
    <w:rsid w:val="4074000E"/>
    <w:rsid w:val="40935DBF"/>
    <w:rsid w:val="40AD2461"/>
    <w:rsid w:val="40B51359"/>
    <w:rsid w:val="40D14886"/>
    <w:rsid w:val="40E31758"/>
    <w:rsid w:val="40EC77C0"/>
    <w:rsid w:val="41055635"/>
    <w:rsid w:val="4110473C"/>
    <w:rsid w:val="411914CE"/>
    <w:rsid w:val="413277CB"/>
    <w:rsid w:val="414E01FC"/>
    <w:rsid w:val="415D3D63"/>
    <w:rsid w:val="416009E4"/>
    <w:rsid w:val="41842500"/>
    <w:rsid w:val="4186602F"/>
    <w:rsid w:val="419470DB"/>
    <w:rsid w:val="41A24DEA"/>
    <w:rsid w:val="41A90E7A"/>
    <w:rsid w:val="41B459F9"/>
    <w:rsid w:val="41F96B04"/>
    <w:rsid w:val="420A5691"/>
    <w:rsid w:val="42225567"/>
    <w:rsid w:val="42324A35"/>
    <w:rsid w:val="4244082F"/>
    <w:rsid w:val="425169CA"/>
    <w:rsid w:val="42680CCB"/>
    <w:rsid w:val="426C0A83"/>
    <w:rsid w:val="427D2F87"/>
    <w:rsid w:val="42854444"/>
    <w:rsid w:val="42A3452A"/>
    <w:rsid w:val="42A56104"/>
    <w:rsid w:val="42B10636"/>
    <w:rsid w:val="42C07BDC"/>
    <w:rsid w:val="42C27F52"/>
    <w:rsid w:val="4318359C"/>
    <w:rsid w:val="431F7916"/>
    <w:rsid w:val="432766DE"/>
    <w:rsid w:val="438F02AE"/>
    <w:rsid w:val="439D3608"/>
    <w:rsid w:val="43CA4BB4"/>
    <w:rsid w:val="43D50CBF"/>
    <w:rsid w:val="43E55538"/>
    <w:rsid w:val="43F737CA"/>
    <w:rsid w:val="4405573A"/>
    <w:rsid w:val="440A60B2"/>
    <w:rsid w:val="44303D0A"/>
    <w:rsid w:val="443A036B"/>
    <w:rsid w:val="444254AC"/>
    <w:rsid w:val="445B7804"/>
    <w:rsid w:val="44605828"/>
    <w:rsid w:val="446A7047"/>
    <w:rsid w:val="447806E4"/>
    <w:rsid w:val="447F5EC2"/>
    <w:rsid w:val="449063B9"/>
    <w:rsid w:val="44A16E10"/>
    <w:rsid w:val="44A348C3"/>
    <w:rsid w:val="44D35855"/>
    <w:rsid w:val="44DB0A58"/>
    <w:rsid w:val="44DF6774"/>
    <w:rsid w:val="44E64193"/>
    <w:rsid w:val="44EF6CC8"/>
    <w:rsid w:val="45036AF3"/>
    <w:rsid w:val="45212C53"/>
    <w:rsid w:val="45303C01"/>
    <w:rsid w:val="45320756"/>
    <w:rsid w:val="453F5652"/>
    <w:rsid w:val="459F6D61"/>
    <w:rsid w:val="45A252C3"/>
    <w:rsid w:val="45AA0FF1"/>
    <w:rsid w:val="45DB35CC"/>
    <w:rsid w:val="45DD1D96"/>
    <w:rsid w:val="45E36925"/>
    <w:rsid w:val="461F03C2"/>
    <w:rsid w:val="462C25F1"/>
    <w:rsid w:val="462C68D6"/>
    <w:rsid w:val="464A0B20"/>
    <w:rsid w:val="465805F7"/>
    <w:rsid w:val="46585082"/>
    <w:rsid w:val="46595971"/>
    <w:rsid w:val="46632862"/>
    <w:rsid w:val="46755CFC"/>
    <w:rsid w:val="467E0C99"/>
    <w:rsid w:val="46AD73C2"/>
    <w:rsid w:val="46C90B21"/>
    <w:rsid w:val="46F75FCB"/>
    <w:rsid w:val="470177A6"/>
    <w:rsid w:val="473401AA"/>
    <w:rsid w:val="47484F18"/>
    <w:rsid w:val="47603664"/>
    <w:rsid w:val="476154E3"/>
    <w:rsid w:val="47841A42"/>
    <w:rsid w:val="47962410"/>
    <w:rsid w:val="47C36755"/>
    <w:rsid w:val="47CB2F7A"/>
    <w:rsid w:val="47DB1D81"/>
    <w:rsid w:val="47DF72B0"/>
    <w:rsid w:val="480D68C9"/>
    <w:rsid w:val="481E1E96"/>
    <w:rsid w:val="483416BA"/>
    <w:rsid w:val="48507049"/>
    <w:rsid w:val="486847C7"/>
    <w:rsid w:val="487E201D"/>
    <w:rsid w:val="48874D9F"/>
    <w:rsid w:val="48907CB1"/>
    <w:rsid w:val="48966E9E"/>
    <w:rsid w:val="48982335"/>
    <w:rsid w:val="489917B6"/>
    <w:rsid w:val="48A979B2"/>
    <w:rsid w:val="48AD1657"/>
    <w:rsid w:val="48B06318"/>
    <w:rsid w:val="48C22461"/>
    <w:rsid w:val="48C4659A"/>
    <w:rsid w:val="48C579B5"/>
    <w:rsid w:val="48EC135D"/>
    <w:rsid w:val="490219DC"/>
    <w:rsid w:val="495F58B0"/>
    <w:rsid w:val="49691F67"/>
    <w:rsid w:val="49712FB7"/>
    <w:rsid w:val="49812068"/>
    <w:rsid w:val="49843F7B"/>
    <w:rsid w:val="499540CE"/>
    <w:rsid w:val="4A094482"/>
    <w:rsid w:val="4A0A5165"/>
    <w:rsid w:val="4A233D86"/>
    <w:rsid w:val="4A371627"/>
    <w:rsid w:val="4A467BE5"/>
    <w:rsid w:val="4A473BD2"/>
    <w:rsid w:val="4A690F35"/>
    <w:rsid w:val="4A7F6A4E"/>
    <w:rsid w:val="4A8A42BD"/>
    <w:rsid w:val="4A92309B"/>
    <w:rsid w:val="4ABC1E0F"/>
    <w:rsid w:val="4ACB77A3"/>
    <w:rsid w:val="4AE46B51"/>
    <w:rsid w:val="4B14006C"/>
    <w:rsid w:val="4B193622"/>
    <w:rsid w:val="4B26353C"/>
    <w:rsid w:val="4B3947ED"/>
    <w:rsid w:val="4B6D2D0D"/>
    <w:rsid w:val="4B87139D"/>
    <w:rsid w:val="4B911138"/>
    <w:rsid w:val="4BAA12CC"/>
    <w:rsid w:val="4BB05489"/>
    <w:rsid w:val="4BC4227B"/>
    <w:rsid w:val="4BE86427"/>
    <w:rsid w:val="4BEB02E1"/>
    <w:rsid w:val="4BED6FE2"/>
    <w:rsid w:val="4BF90C50"/>
    <w:rsid w:val="4C091DE6"/>
    <w:rsid w:val="4C304481"/>
    <w:rsid w:val="4C4966B6"/>
    <w:rsid w:val="4C6960A2"/>
    <w:rsid w:val="4C6A7A2D"/>
    <w:rsid w:val="4C797A26"/>
    <w:rsid w:val="4CB84667"/>
    <w:rsid w:val="4CC96A7C"/>
    <w:rsid w:val="4CC96FBD"/>
    <w:rsid w:val="4CE30A60"/>
    <w:rsid w:val="4D14517D"/>
    <w:rsid w:val="4D245B13"/>
    <w:rsid w:val="4D355CB8"/>
    <w:rsid w:val="4D5D1AF0"/>
    <w:rsid w:val="4D6122D2"/>
    <w:rsid w:val="4D697710"/>
    <w:rsid w:val="4D6A67DE"/>
    <w:rsid w:val="4D922A31"/>
    <w:rsid w:val="4DAE7640"/>
    <w:rsid w:val="4DB41099"/>
    <w:rsid w:val="4DC7644D"/>
    <w:rsid w:val="4E3953B4"/>
    <w:rsid w:val="4E433E0B"/>
    <w:rsid w:val="4E473EF5"/>
    <w:rsid w:val="4E556308"/>
    <w:rsid w:val="4E6A1FBF"/>
    <w:rsid w:val="4EAC212A"/>
    <w:rsid w:val="4EB774AF"/>
    <w:rsid w:val="4EDE24DE"/>
    <w:rsid w:val="4F1E5499"/>
    <w:rsid w:val="4F291120"/>
    <w:rsid w:val="4F413275"/>
    <w:rsid w:val="4F5826C3"/>
    <w:rsid w:val="4F8B7E11"/>
    <w:rsid w:val="4F9E2FF8"/>
    <w:rsid w:val="4FA578EF"/>
    <w:rsid w:val="4FC66B4F"/>
    <w:rsid w:val="4FC6760E"/>
    <w:rsid w:val="4FE450FD"/>
    <w:rsid w:val="4FE8743F"/>
    <w:rsid w:val="4FFC2AF2"/>
    <w:rsid w:val="50016BC6"/>
    <w:rsid w:val="50213AB9"/>
    <w:rsid w:val="503D0653"/>
    <w:rsid w:val="50951C1D"/>
    <w:rsid w:val="50D457E8"/>
    <w:rsid w:val="50DB1A43"/>
    <w:rsid w:val="50DC603A"/>
    <w:rsid w:val="50DF04F8"/>
    <w:rsid w:val="50EA63F1"/>
    <w:rsid w:val="50F97739"/>
    <w:rsid w:val="51042804"/>
    <w:rsid w:val="51424426"/>
    <w:rsid w:val="51575DB4"/>
    <w:rsid w:val="516720FF"/>
    <w:rsid w:val="516E477F"/>
    <w:rsid w:val="51750D79"/>
    <w:rsid w:val="51A67184"/>
    <w:rsid w:val="51AD08B7"/>
    <w:rsid w:val="51C23E52"/>
    <w:rsid w:val="51D768B3"/>
    <w:rsid w:val="5206727E"/>
    <w:rsid w:val="521F5C64"/>
    <w:rsid w:val="52214A5D"/>
    <w:rsid w:val="52280B1A"/>
    <w:rsid w:val="52311CDA"/>
    <w:rsid w:val="5267521F"/>
    <w:rsid w:val="52806025"/>
    <w:rsid w:val="52823B3C"/>
    <w:rsid w:val="52852ADB"/>
    <w:rsid w:val="52A55AA5"/>
    <w:rsid w:val="52A709A8"/>
    <w:rsid w:val="52D224FA"/>
    <w:rsid w:val="52ED330C"/>
    <w:rsid w:val="52F65DC8"/>
    <w:rsid w:val="53230827"/>
    <w:rsid w:val="53326256"/>
    <w:rsid w:val="535624E4"/>
    <w:rsid w:val="539E5C52"/>
    <w:rsid w:val="53C83F0C"/>
    <w:rsid w:val="53CE7BAE"/>
    <w:rsid w:val="54265EB5"/>
    <w:rsid w:val="54290A41"/>
    <w:rsid w:val="542B1C23"/>
    <w:rsid w:val="54376183"/>
    <w:rsid w:val="549A7CFA"/>
    <w:rsid w:val="54B53CDE"/>
    <w:rsid w:val="54FD23D4"/>
    <w:rsid w:val="550F2BF5"/>
    <w:rsid w:val="55302C62"/>
    <w:rsid w:val="55337AC0"/>
    <w:rsid w:val="553C3FF0"/>
    <w:rsid w:val="553D6F90"/>
    <w:rsid w:val="55572540"/>
    <w:rsid w:val="55585A08"/>
    <w:rsid w:val="555D2279"/>
    <w:rsid w:val="55674FAA"/>
    <w:rsid w:val="556B0971"/>
    <w:rsid w:val="557258D8"/>
    <w:rsid w:val="55760B01"/>
    <w:rsid w:val="5579652F"/>
    <w:rsid w:val="55CD2ED1"/>
    <w:rsid w:val="560A0912"/>
    <w:rsid w:val="561777E0"/>
    <w:rsid w:val="563A350C"/>
    <w:rsid w:val="564D5BE3"/>
    <w:rsid w:val="56813D1C"/>
    <w:rsid w:val="56821B56"/>
    <w:rsid w:val="56843566"/>
    <w:rsid w:val="56D2320D"/>
    <w:rsid w:val="56DE4CCA"/>
    <w:rsid w:val="56E542AB"/>
    <w:rsid w:val="56F17C5E"/>
    <w:rsid w:val="56FC144E"/>
    <w:rsid w:val="5706090B"/>
    <w:rsid w:val="571611D1"/>
    <w:rsid w:val="571C1647"/>
    <w:rsid w:val="57511A67"/>
    <w:rsid w:val="575372A4"/>
    <w:rsid w:val="578B1607"/>
    <w:rsid w:val="57A5175C"/>
    <w:rsid w:val="57C308AA"/>
    <w:rsid w:val="57DD3525"/>
    <w:rsid w:val="57EA57F5"/>
    <w:rsid w:val="57EC5852"/>
    <w:rsid w:val="58173CB8"/>
    <w:rsid w:val="584075B5"/>
    <w:rsid w:val="58615A70"/>
    <w:rsid w:val="588E402A"/>
    <w:rsid w:val="58D31DB5"/>
    <w:rsid w:val="58DC4871"/>
    <w:rsid w:val="58E64B80"/>
    <w:rsid w:val="58E73BCA"/>
    <w:rsid w:val="58F24A5D"/>
    <w:rsid w:val="58F5461F"/>
    <w:rsid w:val="58FD0FD3"/>
    <w:rsid w:val="59143C78"/>
    <w:rsid w:val="5920394F"/>
    <w:rsid w:val="59613644"/>
    <w:rsid w:val="598A113A"/>
    <w:rsid w:val="59910DE4"/>
    <w:rsid w:val="59943EC0"/>
    <w:rsid w:val="59C02708"/>
    <w:rsid w:val="59D16427"/>
    <w:rsid w:val="59E26C60"/>
    <w:rsid w:val="59FD3342"/>
    <w:rsid w:val="5A1629CD"/>
    <w:rsid w:val="5A1B05E0"/>
    <w:rsid w:val="5A4341CF"/>
    <w:rsid w:val="5A5A463A"/>
    <w:rsid w:val="5A65617B"/>
    <w:rsid w:val="5A7871A9"/>
    <w:rsid w:val="5A7B29A2"/>
    <w:rsid w:val="5A7C5D14"/>
    <w:rsid w:val="5A8A1032"/>
    <w:rsid w:val="5A8B3745"/>
    <w:rsid w:val="5A8B6F17"/>
    <w:rsid w:val="5AA12CAB"/>
    <w:rsid w:val="5AB377A8"/>
    <w:rsid w:val="5ABE63E5"/>
    <w:rsid w:val="5AC460D0"/>
    <w:rsid w:val="5AD757B7"/>
    <w:rsid w:val="5AE464D4"/>
    <w:rsid w:val="5B231ED3"/>
    <w:rsid w:val="5B5B7A68"/>
    <w:rsid w:val="5B612AFA"/>
    <w:rsid w:val="5B6B04A2"/>
    <w:rsid w:val="5B6D3AF1"/>
    <w:rsid w:val="5B7040B8"/>
    <w:rsid w:val="5B870AA1"/>
    <w:rsid w:val="5B9E2668"/>
    <w:rsid w:val="5B9E3920"/>
    <w:rsid w:val="5BA300DD"/>
    <w:rsid w:val="5BB651EC"/>
    <w:rsid w:val="5BBA3F9F"/>
    <w:rsid w:val="5BBB4A37"/>
    <w:rsid w:val="5BC04A1C"/>
    <w:rsid w:val="5BC624CC"/>
    <w:rsid w:val="5BEB4D4F"/>
    <w:rsid w:val="5BEC79CC"/>
    <w:rsid w:val="5C142F3C"/>
    <w:rsid w:val="5C254D64"/>
    <w:rsid w:val="5C2E7EA5"/>
    <w:rsid w:val="5C3547B6"/>
    <w:rsid w:val="5C5E11E1"/>
    <w:rsid w:val="5C5E3DCA"/>
    <w:rsid w:val="5C6E0E80"/>
    <w:rsid w:val="5C7E423C"/>
    <w:rsid w:val="5C92662E"/>
    <w:rsid w:val="5CD9479B"/>
    <w:rsid w:val="5CFF3A12"/>
    <w:rsid w:val="5D0B76DD"/>
    <w:rsid w:val="5D1D22C5"/>
    <w:rsid w:val="5D2D706C"/>
    <w:rsid w:val="5D311701"/>
    <w:rsid w:val="5D5B1CA2"/>
    <w:rsid w:val="5D646659"/>
    <w:rsid w:val="5D891708"/>
    <w:rsid w:val="5D8C7444"/>
    <w:rsid w:val="5DAD3456"/>
    <w:rsid w:val="5DBA0BAA"/>
    <w:rsid w:val="5DC02697"/>
    <w:rsid w:val="5DD44945"/>
    <w:rsid w:val="5DE802AE"/>
    <w:rsid w:val="5DF254FF"/>
    <w:rsid w:val="5E030E12"/>
    <w:rsid w:val="5E03565A"/>
    <w:rsid w:val="5E065096"/>
    <w:rsid w:val="5E257683"/>
    <w:rsid w:val="5E2E2387"/>
    <w:rsid w:val="5E317DD6"/>
    <w:rsid w:val="5E3C7BC3"/>
    <w:rsid w:val="5E642BEE"/>
    <w:rsid w:val="5E8D3968"/>
    <w:rsid w:val="5EA35664"/>
    <w:rsid w:val="5EA767D4"/>
    <w:rsid w:val="5EC611AF"/>
    <w:rsid w:val="5EE017FC"/>
    <w:rsid w:val="5EE676A6"/>
    <w:rsid w:val="5EED60BB"/>
    <w:rsid w:val="5EEE7526"/>
    <w:rsid w:val="5F0C2655"/>
    <w:rsid w:val="5F1A12A7"/>
    <w:rsid w:val="5F36585F"/>
    <w:rsid w:val="5F397ED6"/>
    <w:rsid w:val="5F610B8F"/>
    <w:rsid w:val="5F6C2CC1"/>
    <w:rsid w:val="5F717444"/>
    <w:rsid w:val="5F763A7A"/>
    <w:rsid w:val="5F940A34"/>
    <w:rsid w:val="5F971BA8"/>
    <w:rsid w:val="5F994AD8"/>
    <w:rsid w:val="5FA0681B"/>
    <w:rsid w:val="5FBF4F1F"/>
    <w:rsid w:val="5FCC452D"/>
    <w:rsid w:val="5FCF6DF0"/>
    <w:rsid w:val="5FDE48B5"/>
    <w:rsid w:val="5FE93F00"/>
    <w:rsid w:val="60040AA9"/>
    <w:rsid w:val="60070917"/>
    <w:rsid w:val="6010503F"/>
    <w:rsid w:val="60330C34"/>
    <w:rsid w:val="60497FB9"/>
    <w:rsid w:val="606D5C20"/>
    <w:rsid w:val="606E4510"/>
    <w:rsid w:val="60724A56"/>
    <w:rsid w:val="60777A42"/>
    <w:rsid w:val="60995B1D"/>
    <w:rsid w:val="60EB5037"/>
    <w:rsid w:val="610E4409"/>
    <w:rsid w:val="61360947"/>
    <w:rsid w:val="61360E99"/>
    <w:rsid w:val="615F42D6"/>
    <w:rsid w:val="617A6AD8"/>
    <w:rsid w:val="618617FC"/>
    <w:rsid w:val="61A570BC"/>
    <w:rsid w:val="61A84CB1"/>
    <w:rsid w:val="61B43FA8"/>
    <w:rsid w:val="61C56443"/>
    <w:rsid w:val="61CA03FC"/>
    <w:rsid w:val="61CA4C10"/>
    <w:rsid w:val="61D76A28"/>
    <w:rsid w:val="61DA7BA7"/>
    <w:rsid w:val="61E84C4F"/>
    <w:rsid w:val="61FC5ECD"/>
    <w:rsid w:val="620A1069"/>
    <w:rsid w:val="6230714F"/>
    <w:rsid w:val="62481D8E"/>
    <w:rsid w:val="627C0859"/>
    <w:rsid w:val="6289016C"/>
    <w:rsid w:val="629821F4"/>
    <w:rsid w:val="629C6518"/>
    <w:rsid w:val="62BC698E"/>
    <w:rsid w:val="62C9075B"/>
    <w:rsid w:val="63096BCD"/>
    <w:rsid w:val="631A59E9"/>
    <w:rsid w:val="63293771"/>
    <w:rsid w:val="633473B6"/>
    <w:rsid w:val="633D546F"/>
    <w:rsid w:val="633E38CC"/>
    <w:rsid w:val="6352275B"/>
    <w:rsid w:val="635B283B"/>
    <w:rsid w:val="63612906"/>
    <w:rsid w:val="6361372A"/>
    <w:rsid w:val="636778DC"/>
    <w:rsid w:val="639433D8"/>
    <w:rsid w:val="63A9074A"/>
    <w:rsid w:val="63D82C71"/>
    <w:rsid w:val="63ED0C43"/>
    <w:rsid w:val="63EF3FDC"/>
    <w:rsid w:val="64086602"/>
    <w:rsid w:val="640A096D"/>
    <w:rsid w:val="641938CD"/>
    <w:rsid w:val="641A4289"/>
    <w:rsid w:val="643B44EE"/>
    <w:rsid w:val="643F321F"/>
    <w:rsid w:val="644222AC"/>
    <w:rsid w:val="647A00FA"/>
    <w:rsid w:val="64963088"/>
    <w:rsid w:val="64AD6316"/>
    <w:rsid w:val="64B54927"/>
    <w:rsid w:val="64CA09DE"/>
    <w:rsid w:val="64D91595"/>
    <w:rsid w:val="64E9591F"/>
    <w:rsid w:val="64F47DAF"/>
    <w:rsid w:val="6514683E"/>
    <w:rsid w:val="651D164D"/>
    <w:rsid w:val="651F3095"/>
    <w:rsid w:val="653D3504"/>
    <w:rsid w:val="654B4692"/>
    <w:rsid w:val="655F6846"/>
    <w:rsid w:val="658208B2"/>
    <w:rsid w:val="658237C2"/>
    <w:rsid w:val="65950903"/>
    <w:rsid w:val="659C1DED"/>
    <w:rsid w:val="65B26D89"/>
    <w:rsid w:val="65EE49A2"/>
    <w:rsid w:val="661D55A5"/>
    <w:rsid w:val="66380F48"/>
    <w:rsid w:val="663C2619"/>
    <w:rsid w:val="664118FF"/>
    <w:rsid w:val="664E34EF"/>
    <w:rsid w:val="667573F1"/>
    <w:rsid w:val="667716F2"/>
    <w:rsid w:val="66795579"/>
    <w:rsid w:val="66A75734"/>
    <w:rsid w:val="66AF21DF"/>
    <w:rsid w:val="66B92AED"/>
    <w:rsid w:val="66BF4D74"/>
    <w:rsid w:val="66BF5706"/>
    <w:rsid w:val="66E94409"/>
    <w:rsid w:val="67002A3B"/>
    <w:rsid w:val="670C775B"/>
    <w:rsid w:val="6716225F"/>
    <w:rsid w:val="67212645"/>
    <w:rsid w:val="67362184"/>
    <w:rsid w:val="675458DF"/>
    <w:rsid w:val="676F05C0"/>
    <w:rsid w:val="67CA4870"/>
    <w:rsid w:val="67D132E3"/>
    <w:rsid w:val="67D62508"/>
    <w:rsid w:val="67FE36BA"/>
    <w:rsid w:val="6805552E"/>
    <w:rsid w:val="680605EC"/>
    <w:rsid w:val="682315FF"/>
    <w:rsid w:val="68543B23"/>
    <w:rsid w:val="685968A7"/>
    <w:rsid w:val="687528AD"/>
    <w:rsid w:val="68996255"/>
    <w:rsid w:val="68BC6E36"/>
    <w:rsid w:val="68DB67D8"/>
    <w:rsid w:val="68FB2C48"/>
    <w:rsid w:val="68FE75A8"/>
    <w:rsid w:val="69185881"/>
    <w:rsid w:val="69196101"/>
    <w:rsid w:val="693F18F5"/>
    <w:rsid w:val="69602951"/>
    <w:rsid w:val="696A0640"/>
    <w:rsid w:val="697051FC"/>
    <w:rsid w:val="698B0301"/>
    <w:rsid w:val="69A5645F"/>
    <w:rsid w:val="69E16E1F"/>
    <w:rsid w:val="69E36B89"/>
    <w:rsid w:val="69F55630"/>
    <w:rsid w:val="6A05787F"/>
    <w:rsid w:val="6A3A5CA9"/>
    <w:rsid w:val="6A670D9E"/>
    <w:rsid w:val="6A6746D6"/>
    <w:rsid w:val="6A8504FF"/>
    <w:rsid w:val="6A8B194F"/>
    <w:rsid w:val="6A8C62E5"/>
    <w:rsid w:val="6AC00863"/>
    <w:rsid w:val="6AD5589C"/>
    <w:rsid w:val="6AD81A35"/>
    <w:rsid w:val="6AEE0529"/>
    <w:rsid w:val="6B2337CA"/>
    <w:rsid w:val="6B32198D"/>
    <w:rsid w:val="6B525B3D"/>
    <w:rsid w:val="6B7940E6"/>
    <w:rsid w:val="6B9D3599"/>
    <w:rsid w:val="6BA7611D"/>
    <w:rsid w:val="6BA8544F"/>
    <w:rsid w:val="6BAB65F5"/>
    <w:rsid w:val="6BB24FA5"/>
    <w:rsid w:val="6BD06883"/>
    <w:rsid w:val="6BDE7E9C"/>
    <w:rsid w:val="6BE22E83"/>
    <w:rsid w:val="6BF81163"/>
    <w:rsid w:val="6C185087"/>
    <w:rsid w:val="6C5A3688"/>
    <w:rsid w:val="6C787D9D"/>
    <w:rsid w:val="6C970327"/>
    <w:rsid w:val="6CCB3AEB"/>
    <w:rsid w:val="6CD72490"/>
    <w:rsid w:val="6CE912F5"/>
    <w:rsid w:val="6D0F5F13"/>
    <w:rsid w:val="6D105919"/>
    <w:rsid w:val="6D150E1D"/>
    <w:rsid w:val="6D174322"/>
    <w:rsid w:val="6D255F5D"/>
    <w:rsid w:val="6D2B56B8"/>
    <w:rsid w:val="6D340D75"/>
    <w:rsid w:val="6D4B1CBB"/>
    <w:rsid w:val="6D5E4D93"/>
    <w:rsid w:val="6D6226BA"/>
    <w:rsid w:val="6D995F74"/>
    <w:rsid w:val="6DA82C7E"/>
    <w:rsid w:val="6DC6730C"/>
    <w:rsid w:val="6DD34C59"/>
    <w:rsid w:val="6DD448AD"/>
    <w:rsid w:val="6DE05374"/>
    <w:rsid w:val="6DE62CA6"/>
    <w:rsid w:val="6DEF1B61"/>
    <w:rsid w:val="6DFD7A69"/>
    <w:rsid w:val="6E292877"/>
    <w:rsid w:val="6E4924C8"/>
    <w:rsid w:val="6E5058FF"/>
    <w:rsid w:val="6E575A44"/>
    <w:rsid w:val="6E7A4F1D"/>
    <w:rsid w:val="6E8B730A"/>
    <w:rsid w:val="6EA0132C"/>
    <w:rsid w:val="6EAD160D"/>
    <w:rsid w:val="6EB347EA"/>
    <w:rsid w:val="6ECD2434"/>
    <w:rsid w:val="6EF07671"/>
    <w:rsid w:val="6EFF59CA"/>
    <w:rsid w:val="6F031C6E"/>
    <w:rsid w:val="6F3020F2"/>
    <w:rsid w:val="6F500FC9"/>
    <w:rsid w:val="6F590963"/>
    <w:rsid w:val="6F656B2A"/>
    <w:rsid w:val="6F714668"/>
    <w:rsid w:val="6F7665A0"/>
    <w:rsid w:val="6F7A593F"/>
    <w:rsid w:val="6F80351F"/>
    <w:rsid w:val="6F80406A"/>
    <w:rsid w:val="6F834209"/>
    <w:rsid w:val="6F871C38"/>
    <w:rsid w:val="6F9C52CB"/>
    <w:rsid w:val="6FC0720B"/>
    <w:rsid w:val="6FC96EC6"/>
    <w:rsid w:val="6FD137A4"/>
    <w:rsid w:val="6FE61142"/>
    <w:rsid w:val="6FF310C1"/>
    <w:rsid w:val="6FF44A9C"/>
    <w:rsid w:val="702538B7"/>
    <w:rsid w:val="70361950"/>
    <w:rsid w:val="70435388"/>
    <w:rsid w:val="7060678D"/>
    <w:rsid w:val="70794377"/>
    <w:rsid w:val="708A48C4"/>
    <w:rsid w:val="709B37D5"/>
    <w:rsid w:val="70AA5EED"/>
    <w:rsid w:val="711A5B65"/>
    <w:rsid w:val="711D218F"/>
    <w:rsid w:val="712E4D15"/>
    <w:rsid w:val="713E7977"/>
    <w:rsid w:val="7141437C"/>
    <w:rsid w:val="71661E86"/>
    <w:rsid w:val="716F71C3"/>
    <w:rsid w:val="717D6D68"/>
    <w:rsid w:val="71983756"/>
    <w:rsid w:val="71C92A12"/>
    <w:rsid w:val="71D13952"/>
    <w:rsid w:val="71DF1E89"/>
    <w:rsid w:val="721554F9"/>
    <w:rsid w:val="72425EFB"/>
    <w:rsid w:val="72620CAD"/>
    <w:rsid w:val="7263671B"/>
    <w:rsid w:val="72663C92"/>
    <w:rsid w:val="72693B8A"/>
    <w:rsid w:val="729F135A"/>
    <w:rsid w:val="72B74068"/>
    <w:rsid w:val="72B74996"/>
    <w:rsid w:val="72BD34FF"/>
    <w:rsid w:val="72CF5E49"/>
    <w:rsid w:val="72DA00C9"/>
    <w:rsid w:val="72DE409F"/>
    <w:rsid w:val="72F9456C"/>
    <w:rsid w:val="730616C8"/>
    <w:rsid w:val="73195934"/>
    <w:rsid w:val="731A5131"/>
    <w:rsid w:val="731B493B"/>
    <w:rsid w:val="733B7325"/>
    <w:rsid w:val="73406413"/>
    <w:rsid w:val="73471BB0"/>
    <w:rsid w:val="73A0364C"/>
    <w:rsid w:val="73B467B4"/>
    <w:rsid w:val="73B91281"/>
    <w:rsid w:val="73F15BD1"/>
    <w:rsid w:val="73F91155"/>
    <w:rsid w:val="740B66DE"/>
    <w:rsid w:val="743E785E"/>
    <w:rsid w:val="745B5755"/>
    <w:rsid w:val="74623A4F"/>
    <w:rsid w:val="74DA770E"/>
    <w:rsid w:val="74F02488"/>
    <w:rsid w:val="751704DE"/>
    <w:rsid w:val="751D1FFC"/>
    <w:rsid w:val="75343EB8"/>
    <w:rsid w:val="753830E1"/>
    <w:rsid w:val="75504B8E"/>
    <w:rsid w:val="75667D4C"/>
    <w:rsid w:val="757A4D87"/>
    <w:rsid w:val="75935452"/>
    <w:rsid w:val="762E29F8"/>
    <w:rsid w:val="76402E54"/>
    <w:rsid w:val="764D792F"/>
    <w:rsid w:val="764E34B5"/>
    <w:rsid w:val="76715B15"/>
    <w:rsid w:val="768E31AA"/>
    <w:rsid w:val="769E7B7E"/>
    <w:rsid w:val="76E126D2"/>
    <w:rsid w:val="76F87D58"/>
    <w:rsid w:val="76FD16AF"/>
    <w:rsid w:val="77147FA6"/>
    <w:rsid w:val="77267993"/>
    <w:rsid w:val="772E6A2D"/>
    <w:rsid w:val="77686715"/>
    <w:rsid w:val="776E1727"/>
    <w:rsid w:val="77701517"/>
    <w:rsid w:val="77805CAF"/>
    <w:rsid w:val="778E5E41"/>
    <w:rsid w:val="779F4693"/>
    <w:rsid w:val="77A31B21"/>
    <w:rsid w:val="77B07669"/>
    <w:rsid w:val="77DB26FD"/>
    <w:rsid w:val="77DE1FE6"/>
    <w:rsid w:val="77EC740D"/>
    <w:rsid w:val="78154A2B"/>
    <w:rsid w:val="782B108E"/>
    <w:rsid w:val="78341E50"/>
    <w:rsid w:val="78601031"/>
    <w:rsid w:val="78607640"/>
    <w:rsid w:val="789A4411"/>
    <w:rsid w:val="78AA7710"/>
    <w:rsid w:val="78CC4D93"/>
    <w:rsid w:val="78E656C8"/>
    <w:rsid w:val="78F50371"/>
    <w:rsid w:val="7915226E"/>
    <w:rsid w:val="79164F77"/>
    <w:rsid w:val="79167A86"/>
    <w:rsid w:val="794C7AA7"/>
    <w:rsid w:val="795135CA"/>
    <w:rsid w:val="79573EC9"/>
    <w:rsid w:val="79661EDA"/>
    <w:rsid w:val="797D6309"/>
    <w:rsid w:val="798821BE"/>
    <w:rsid w:val="79BD46DA"/>
    <w:rsid w:val="79BF49DD"/>
    <w:rsid w:val="79C5088B"/>
    <w:rsid w:val="79ED082F"/>
    <w:rsid w:val="79FB44EA"/>
    <w:rsid w:val="79FF03BE"/>
    <w:rsid w:val="7A016D9E"/>
    <w:rsid w:val="7A083C89"/>
    <w:rsid w:val="7A0A2B79"/>
    <w:rsid w:val="7A1E525A"/>
    <w:rsid w:val="7A295B91"/>
    <w:rsid w:val="7A3E30CC"/>
    <w:rsid w:val="7A541C60"/>
    <w:rsid w:val="7AB462D0"/>
    <w:rsid w:val="7AB570F1"/>
    <w:rsid w:val="7ABA0366"/>
    <w:rsid w:val="7AE5114D"/>
    <w:rsid w:val="7B1017EE"/>
    <w:rsid w:val="7B157F44"/>
    <w:rsid w:val="7B320B62"/>
    <w:rsid w:val="7B3F35AA"/>
    <w:rsid w:val="7B6A40C8"/>
    <w:rsid w:val="7B720479"/>
    <w:rsid w:val="7B7B3BE7"/>
    <w:rsid w:val="7B802203"/>
    <w:rsid w:val="7B8178B7"/>
    <w:rsid w:val="7B9D48A5"/>
    <w:rsid w:val="7BAE6AB2"/>
    <w:rsid w:val="7C08608C"/>
    <w:rsid w:val="7C0F40C7"/>
    <w:rsid w:val="7C2969D8"/>
    <w:rsid w:val="7C346E76"/>
    <w:rsid w:val="7C3A4A24"/>
    <w:rsid w:val="7C501408"/>
    <w:rsid w:val="7C6B1295"/>
    <w:rsid w:val="7C982102"/>
    <w:rsid w:val="7CB9586A"/>
    <w:rsid w:val="7D1947B6"/>
    <w:rsid w:val="7D3C40A4"/>
    <w:rsid w:val="7D4A49FF"/>
    <w:rsid w:val="7D7A082F"/>
    <w:rsid w:val="7D894C8E"/>
    <w:rsid w:val="7D8A1FB2"/>
    <w:rsid w:val="7D9E00C5"/>
    <w:rsid w:val="7DC94F37"/>
    <w:rsid w:val="7DCE16B4"/>
    <w:rsid w:val="7DD20E1F"/>
    <w:rsid w:val="7DDD542C"/>
    <w:rsid w:val="7E540C56"/>
    <w:rsid w:val="7E6E2C8F"/>
    <w:rsid w:val="7E6F502F"/>
    <w:rsid w:val="7EA4036E"/>
    <w:rsid w:val="7EF0504B"/>
    <w:rsid w:val="7F1E43A9"/>
    <w:rsid w:val="7F394DEA"/>
    <w:rsid w:val="7F3E6B34"/>
    <w:rsid w:val="7F4962A5"/>
    <w:rsid w:val="7F5636E8"/>
    <w:rsid w:val="7F6667DD"/>
    <w:rsid w:val="7F690B2F"/>
    <w:rsid w:val="7F713595"/>
    <w:rsid w:val="7F820A3F"/>
    <w:rsid w:val="7FA77F61"/>
    <w:rsid w:val="7FA8575C"/>
    <w:rsid w:val="7FB33365"/>
    <w:rsid w:val="7FBE5932"/>
    <w:rsid w:val="7FCD52FF"/>
    <w:rsid w:val="7FD63EC7"/>
    <w:rsid w:val="7FDA4EB2"/>
    <w:rsid w:val="7FFF2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eastAsia="宋体"/>
      <w:sz w:val="24"/>
      <w:szCs w:val="24"/>
    </w:rPr>
  </w:style>
  <w:style w:type="character" w:styleId="9">
    <w:name w:val="Strong"/>
    <w:basedOn w:val="8"/>
    <w:qFormat/>
    <w:uiPriority w:val="0"/>
    <w:rPr>
      <w:b/>
      <w:bCs/>
    </w:rPr>
  </w:style>
  <w:style w:type="character" w:customStyle="1" w:styleId="10">
    <w:name w:val="页眉 Char"/>
    <w:basedOn w:val="8"/>
    <w:link w:val="5"/>
    <w:qFormat/>
    <w:uiPriority w:val="0"/>
    <w:rPr>
      <w:rFonts w:eastAsia="仿宋_GB2312"/>
      <w:kern w:val="2"/>
      <w:sz w:val="18"/>
      <w:szCs w:val="18"/>
    </w:rPr>
  </w:style>
  <w:style w:type="character" w:customStyle="1" w:styleId="11">
    <w:name w:val="font31"/>
    <w:basedOn w:val="8"/>
    <w:qFormat/>
    <w:uiPriority w:val="0"/>
    <w:rPr>
      <w:rFonts w:hint="default" w:ascii="仿宋_GB2312" w:eastAsia="仿宋_GB2312" w:cs="仿宋_GB2312"/>
      <w:b/>
      <w:bCs/>
      <w:color w:val="000000"/>
      <w:sz w:val="20"/>
      <w:szCs w:val="20"/>
      <w:u w:val="none"/>
    </w:rPr>
  </w:style>
  <w:style w:type="character" w:customStyle="1" w:styleId="12">
    <w:name w:val="font01"/>
    <w:basedOn w:val="8"/>
    <w:qFormat/>
    <w:uiPriority w:val="0"/>
    <w:rPr>
      <w:rFonts w:ascii="TimesNewRoman" w:hAnsi="TimesNewRoman" w:eastAsia="TimesNewRoman" w:cs="TimesNewRoman"/>
      <w:b/>
      <w:bCs/>
      <w:color w:val="000000"/>
      <w:sz w:val="20"/>
      <w:szCs w:val="20"/>
      <w:u w:val="none"/>
    </w:rPr>
  </w:style>
  <w:style w:type="character" w:customStyle="1" w:styleId="13">
    <w:name w:val="font61"/>
    <w:basedOn w:val="8"/>
    <w:qFormat/>
    <w:uiPriority w:val="0"/>
    <w:rPr>
      <w:rFonts w:hint="default" w:ascii="仿宋_GB2312" w:eastAsia="仿宋_GB2312" w:cs="仿宋_GB2312"/>
      <w:color w:val="000000"/>
      <w:sz w:val="20"/>
      <w:szCs w:val="20"/>
      <w:u w:val="none"/>
    </w:rPr>
  </w:style>
  <w:style w:type="character" w:customStyle="1" w:styleId="14">
    <w:name w:val="font21"/>
    <w:basedOn w:val="8"/>
    <w:qFormat/>
    <w:uiPriority w:val="0"/>
    <w:rPr>
      <w:rFonts w:hint="default" w:ascii="TimesNewRoman" w:hAnsi="TimesNewRoman" w:eastAsia="TimesNewRoman" w:cs="TimesNewRoman"/>
      <w:color w:val="000000"/>
      <w:sz w:val="20"/>
      <w:szCs w:val="20"/>
      <w:u w:val="none"/>
    </w:rPr>
  </w:style>
  <w:style w:type="character" w:customStyle="1" w:styleId="15">
    <w:name w:val="font11"/>
    <w:basedOn w:val="8"/>
    <w:qFormat/>
    <w:uiPriority w:val="0"/>
    <w:rPr>
      <w:rFonts w:hint="default"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9811</Words>
  <Characters>11264</Characters>
  <Lines>99</Lines>
  <Paragraphs>28</Paragraphs>
  <TotalTime>1</TotalTime>
  <ScaleCrop>false</ScaleCrop>
  <LinksUpToDate>false</LinksUpToDate>
  <CharactersWithSpaces>12983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2022-01-11T07:31:00Z</dcterms:created>
  <dc:creator>Administrator</dc:creator>
  <cp:lastModifiedBy>chu</cp:lastModifiedBy>
  <dcterms:modified xsi:type="dcterms:W3CDTF">2023-05-26T07:23:39Z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2D34550EB5F54089B5033C49EB2AC2EA_13</vt:lpwstr>
  </property>
</Properties>
</file>